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tblpX="1273" w:tblpY="1"/>
        <w:tblOverlap w:val="never"/>
        <w:tblW w:w="0" w:type="auto"/>
        <w:tblCellMar>
          <w:left w:w="70" w:type="dxa"/>
          <w:right w:w="70" w:type="dxa"/>
        </w:tblCellMar>
        <w:tblLook w:val="0000" w:firstRow="0" w:lastRow="0" w:firstColumn="0" w:lastColumn="0" w:noHBand="0" w:noVBand="0"/>
      </w:tblPr>
      <w:tblGrid>
        <w:gridCol w:w="3189"/>
      </w:tblGrid>
      <w:tr w:rsidR="00720EF0" w:rsidRPr="00F3311F" w14:paraId="5501E347" w14:textId="77777777" w:rsidTr="006246DD">
        <w:trPr>
          <w:trHeight w:val="426"/>
        </w:trPr>
        <w:tc>
          <w:tcPr>
            <w:tcW w:w="3189" w:type="dxa"/>
            <w:vAlign w:val="center"/>
          </w:tcPr>
          <w:p w14:paraId="5B472FCE" w14:textId="77777777" w:rsidR="00720EF0" w:rsidRPr="00F3311F" w:rsidRDefault="00720EF0" w:rsidP="00D4710E">
            <w:pPr>
              <w:pStyle w:val="Textonotapie"/>
              <w:tabs>
                <w:tab w:val="left" w:pos="1021"/>
                <w:tab w:val="left" w:pos="8080"/>
              </w:tabs>
              <w:spacing w:line="276" w:lineRule="auto"/>
              <w:jc w:val="both"/>
              <w:rPr>
                <w:rFonts w:asciiTheme="majorHAnsi" w:hAnsiTheme="majorHAnsi" w:cstheme="majorHAnsi"/>
                <w:sz w:val="28"/>
              </w:rPr>
            </w:pPr>
          </w:p>
        </w:tc>
      </w:tr>
      <w:tr w:rsidR="00720EF0" w:rsidRPr="00F3311F" w14:paraId="6BC7333E" w14:textId="77777777" w:rsidTr="006246DD">
        <w:trPr>
          <w:trHeight w:val="690"/>
        </w:trPr>
        <w:tc>
          <w:tcPr>
            <w:tcW w:w="3189" w:type="dxa"/>
          </w:tcPr>
          <w:p w14:paraId="4478F4C8" w14:textId="77777777" w:rsidR="00D427D3" w:rsidRPr="00F3311F" w:rsidRDefault="00D427D3" w:rsidP="00D4710E">
            <w:pPr>
              <w:pStyle w:val="Textonotapie"/>
              <w:tabs>
                <w:tab w:val="left" w:pos="1021"/>
                <w:tab w:val="left" w:pos="8080"/>
              </w:tabs>
              <w:spacing w:line="276" w:lineRule="auto"/>
              <w:jc w:val="both"/>
              <w:rPr>
                <w:rFonts w:asciiTheme="majorHAnsi" w:hAnsiTheme="majorHAnsi" w:cstheme="majorHAnsi"/>
                <w:snapToGrid w:val="0"/>
                <w:color w:val="000000"/>
                <w:lang w:val="es-ES"/>
              </w:rPr>
            </w:pPr>
            <w:r w:rsidRPr="00F3311F">
              <w:rPr>
                <w:rFonts w:asciiTheme="majorHAnsi" w:hAnsiTheme="majorHAnsi" w:cstheme="majorHAnsi"/>
                <w:snapToGrid w:val="0"/>
                <w:color w:val="000000"/>
                <w:lang w:val="es-ES"/>
              </w:rPr>
              <w:t xml:space="preserve">MINISTERIO </w:t>
            </w:r>
          </w:p>
          <w:p w14:paraId="6F537C43" w14:textId="77777777" w:rsidR="00720EF0" w:rsidRPr="00F3311F" w:rsidRDefault="00D427D3" w:rsidP="00D4710E">
            <w:pPr>
              <w:pStyle w:val="Textonotapie"/>
              <w:tabs>
                <w:tab w:val="left" w:pos="1021"/>
                <w:tab w:val="left" w:pos="8080"/>
              </w:tabs>
              <w:spacing w:line="276" w:lineRule="auto"/>
              <w:jc w:val="both"/>
              <w:rPr>
                <w:rFonts w:asciiTheme="majorHAnsi" w:hAnsiTheme="majorHAnsi" w:cstheme="majorHAnsi"/>
                <w:snapToGrid w:val="0"/>
                <w:color w:val="000000"/>
                <w:lang w:val="es-ES"/>
              </w:rPr>
            </w:pPr>
            <w:r w:rsidRPr="00F3311F">
              <w:rPr>
                <w:rFonts w:asciiTheme="majorHAnsi" w:hAnsiTheme="majorHAnsi" w:cstheme="majorHAnsi"/>
                <w:snapToGrid w:val="0"/>
                <w:color w:val="000000"/>
                <w:lang w:val="es-ES"/>
              </w:rPr>
              <w:t xml:space="preserve">DE </w:t>
            </w:r>
            <w:r w:rsidR="006802F3" w:rsidRPr="00F3311F">
              <w:rPr>
                <w:rFonts w:asciiTheme="majorHAnsi" w:hAnsiTheme="majorHAnsi" w:cstheme="majorHAnsi"/>
                <w:snapToGrid w:val="0"/>
                <w:color w:val="000000"/>
                <w:lang w:val="es-ES"/>
              </w:rPr>
              <w:t>AGRICULTURA, PESCA</w:t>
            </w:r>
          </w:p>
          <w:p w14:paraId="70D30DD9" w14:textId="77777777" w:rsidR="006802F3" w:rsidRPr="00F3311F" w:rsidRDefault="006802F3" w:rsidP="00D4710E">
            <w:pPr>
              <w:pStyle w:val="Textonotapie"/>
              <w:tabs>
                <w:tab w:val="left" w:pos="1021"/>
                <w:tab w:val="left" w:pos="8080"/>
              </w:tabs>
              <w:spacing w:line="276" w:lineRule="auto"/>
              <w:jc w:val="both"/>
              <w:rPr>
                <w:rFonts w:asciiTheme="majorHAnsi" w:hAnsiTheme="majorHAnsi" w:cstheme="majorHAnsi"/>
                <w:snapToGrid w:val="0"/>
                <w:color w:val="000000"/>
                <w:lang w:val="es-ES"/>
              </w:rPr>
            </w:pPr>
            <w:r w:rsidRPr="00F3311F">
              <w:rPr>
                <w:rFonts w:asciiTheme="majorHAnsi" w:hAnsiTheme="majorHAnsi" w:cstheme="majorHAnsi"/>
                <w:snapToGrid w:val="0"/>
                <w:color w:val="000000"/>
                <w:lang w:val="es-ES"/>
              </w:rPr>
              <w:t>Y ALIMENTACIÓN</w:t>
            </w:r>
          </w:p>
        </w:tc>
      </w:tr>
      <w:tr w:rsidR="00720EF0" w:rsidRPr="00F3311F" w14:paraId="7C2F36A1" w14:textId="77777777" w:rsidTr="006246DD">
        <w:tc>
          <w:tcPr>
            <w:tcW w:w="3189" w:type="dxa"/>
          </w:tcPr>
          <w:p w14:paraId="5405C3A3" w14:textId="77777777" w:rsidR="00720EF0" w:rsidRPr="00F3311F" w:rsidRDefault="00720EF0" w:rsidP="00D4710E">
            <w:pPr>
              <w:pStyle w:val="Textonotapie"/>
              <w:tabs>
                <w:tab w:val="left" w:pos="1021"/>
                <w:tab w:val="left" w:pos="8080"/>
              </w:tabs>
              <w:spacing w:line="276" w:lineRule="auto"/>
              <w:jc w:val="both"/>
              <w:rPr>
                <w:rFonts w:asciiTheme="majorHAnsi" w:hAnsiTheme="majorHAnsi" w:cstheme="majorHAnsi"/>
                <w:sz w:val="28"/>
              </w:rPr>
            </w:pPr>
          </w:p>
        </w:tc>
      </w:tr>
    </w:tbl>
    <w:tbl>
      <w:tblPr>
        <w:tblpPr w:leftFromText="142" w:rightFromText="142" w:vertAnchor="text" w:horzAnchor="margin" w:tblpXSpec="right" w:tblpY="-31"/>
        <w:tblOverlap w:val="never"/>
        <w:tblW w:w="0" w:type="auto"/>
        <w:tblCellMar>
          <w:left w:w="0" w:type="dxa"/>
          <w:right w:w="0" w:type="dxa"/>
        </w:tblCellMar>
        <w:tblLook w:val="0000" w:firstRow="0" w:lastRow="0" w:firstColumn="0" w:lastColumn="0" w:noHBand="0" w:noVBand="0"/>
      </w:tblPr>
      <w:tblGrid>
        <w:gridCol w:w="4794"/>
      </w:tblGrid>
      <w:tr w:rsidR="00C67F98" w:rsidRPr="00F3311F" w14:paraId="19F63904" w14:textId="77777777" w:rsidTr="00273E1B">
        <w:trPr>
          <w:trHeight w:val="426"/>
        </w:trPr>
        <w:tc>
          <w:tcPr>
            <w:tcW w:w="4794" w:type="dxa"/>
          </w:tcPr>
          <w:p w14:paraId="3A4FA657" w14:textId="77777777" w:rsidR="00C67F98" w:rsidRPr="00F3311F" w:rsidRDefault="00C67F98" w:rsidP="00D4710E">
            <w:pPr>
              <w:pStyle w:val="Textonotapie"/>
              <w:tabs>
                <w:tab w:val="left" w:pos="1021"/>
                <w:tab w:val="left" w:pos="8080"/>
              </w:tabs>
              <w:spacing w:line="276" w:lineRule="auto"/>
              <w:ind w:right="-82"/>
              <w:jc w:val="both"/>
              <w:rPr>
                <w:rFonts w:asciiTheme="majorHAnsi" w:hAnsiTheme="majorHAnsi" w:cstheme="majorHAnsi"/>
                <w:b/>
                <w:szCs w:val="18"/>
              </w:rPr>
            </w:pPr>
          </w:p>
          <w:p w14:paraId="1CAD2828" w14:textId="77777777" w:rsidR="00C26E00" w:rsidRPr="00F3311F" w:rsidRDefault="00C26E00" w:rsidP="00D4710E">
            <w:pPr>
              <w:pStyle w:val="Textonotapie"/>
              <w:tabs>
                <w:tab w:val="left" w:pos="1021"/>
                <w:tab w:val="left" w:pos="8080"/>
              </w:tabs>
              <w:spacing w:line="276" w:lineRule="auto"/>
              <w:ind w:right="-82"/>
              <w:jc w:val="both"/>
              <w:rPr>
                <w:rFonts w:asciiTheme="majorHAnsi" w:hAnsiTheme="majorHAnsi" w:cstheme="majorHAnsi"/>
                <w:b/>
                <w:szCs w:val="18"/>
              </w:rPr>
            </w:pPr>
          </w:p>
          <w:p w14:paraId="39EA441F" w14:textId="77777777" w:rsidR="00C26E00" w:rsidRPr="00F3311F" w:rsidRDefault="00C26E00" w:rsidP="00D4710E">
            <w:pPr>
              <w:pStyle w:val="Textonotapie"/>
              <w:tabs>
                <w:tab w:val="left" w:pos="1021"/>
                <w:tab w:val="left" w:pos="8080"/>
              </w:tabs>
              <w:spacing w:line="276" w:lineRule="auto"/>
              <w:ind w:right="-82"/>
              <w:jc w:val="both"/>
              <w:rPr>
                <w:rFonts w:asciiTheme="majorHAnsi" w:hAnsiTheme="majorHAnsi" w:cstheme="majorHAnsi"/>
                <w:b/>
                <w:szCs w:val="18"/>
              </w:rPr>
            </w:pPr>
          </w:p>
          <w:p w14:paraId="6B443EF0" w14:textId="77777777" w:rsidR="00C67F98" w:rsidRPr="00F3311F" w:rsidRDefault="00C67F98" w:rsidP="00D4710E">
            <w:pPr>
              <w:pStyle w:val="Textonotapie"/>
              <w:tabs>
                <w:tab w:val="left" w:pos="1021"/>
                <w:tab w:val="left" w:pos="8080"/>
              </w:tabs>
              <w:spacing w:line="276" w:lineRule="auto"/>
              <w:ind w:right="-82"/>
              <w:jc w:val="both"/>
              <w:rPr>
                <w:rFonts w:asciiTheme="majorHAnsi" w:hAnsiTheme="majorHAnsi" w:cstheme="majorHAnsi"/>
                <w:b/>
                <w:szCs w:val="18"/>
              </w:rPr>
            </w:pPr>
            <w:r w:rsidRPr="00F3311F">
              <w:rPr>
                <w:rFonts w:asciiTheme="majorHAnsi" w:hAnsiTheme="majorHAnsi" w:cstheme="majorHAnsi"/>
                <w:b/>
                <w:szCs w:val="18"/>
              </w:rPr>
              <w:t>SECRETARÍA GENERAL DE AGRICULTURA Y ALIMENTACIÓN</w:t>
            </w:r>
          </w:p>
          <w:p w14:paraId="342F69AF" w14:textId="77777777" w:rsidR="00C67F98" w:rsidRPr="00F3311F" w:rsidRDefault="00C67F98" w:rsidP="00D4710E">
            <w:pPr>
              <w:pStyle w:val="Textonotapie"/>
              <w:tabs>
                <w:tab w:val="left" w:pos="1021"/>
                <w:tab w:val="left" w:pos="8080"/>
              </w:tabs>
              <w:spacing w:line="276" w:lineRule="auto"/>
              <w:ind w:right="-82"/>
              <w:jc w:val="both"/>
              <w:rPr>
                <w:rFonts w:asciiTheme="majorHAnsi" w:hAnsiTheme="majorHAnsi" w:cstheme="majorHAnsi"/>
                <w:b/>
                <w:sz w:val="16"/>
              </w:rPr>
            </w:pPr>
          </w:p>
        </w:tc>
      </w:tr>
      <w:tr w:rsidR="00C67F98" w:rsidRPr="00F3311F" w14:paraId="1B16693A" w14:textId="77777777" w:rsidTr="00E26BC2">
        <w:trPr>
          <w:trHeight w:val="574"/>
        </w:trPr>
        <w:tc>
          <w:tcPr>
            <w:tcW w:w="4794" w:type="dxa"/>
          </w:tcPr>
          <w:p w14:paraId="15F60B26" w14:textId="77777777" w:rsidR="00C67F98" w:rsidRPr="00F3311F" w:rsidRDefault="00C67F98" w:rsidP="00D4710E">
            <w:pPr>
              <w:pStyle w:val="Textonotapie"/>
              <w:tabs>
                <w:tab w:val="left" w:pos="1021"/>
                <w:tab w:val="left" w:pos="8080"/>
              </w:tabs>
              <w:spacing w:line="276" w:lineRule="auto"/>
              <w:ind w:right="-82"/>
              <w:jc w:val="both"/>
              <w:rPr>
                <w:rFonts w:asciiTheme="majorHAnsi" w:hAnsiTheme="majorHAnsi" w:cstheme="majorHAnsi"/>
                <w:sz w:val="16"/>
              </w:rPr>
            </w:pPr>
          </w:p>
        </w:tc>
      </w:tr>
    </w:tbl>
    <w:p w14:paraId="45CFA74B" w14:textId="77777777" w:rsidR="00652586" w:rsidRPr="00F3311F" w:rsidRDefault="00652586" w:rsidP="00D4710E">
      <w:pPr>
        <w:spacing w:line="276" w:lineRule="auto"/>
        <w:jc w:val="both"/>
        <w:rPr>
          <w:rFonts w:asciiTheme="majorHAnsi" w:hAnsiTheme="majorHAnsi" w:cstheme="majorHAnsi"/>
          <w:vanish/>
          <w:sz w:val="22"/>
        </w:rPr>
      </w:pPr>
    </w:p>
    <w:p w14:paraId="4A51BE30" w14:textId="77777777" w:rsidR="00D30AD2" w:rsidRPr="00F3311F" w:rsidRDefault="00D30AD2" w:rsidP="00D4710E">
      <w:pPr>
        <w:pStyle w:val="Textonotapie"/>
        <w:tabs>
          <w:tab w:val="left" w:pos="1021"/>
          <w:tab w:val="left" w:pos="8080"/>
        </w:tabs>
        <w:spacing w:line="276" w:lineRule="auto"/>
        <w:ind w:left="-284"/>
        <w:jc w:val="both"/>
        <w:rPr>
          <w:rFonts w:asciiTheme="majorHAnsi" w:hAnsiTheme="majorHAnsi" w:cstheme="majorHAnsi"/>
          <w:sz w:val="28"/>
        </w:rPr>
      </w:pPr>
      <w:r w:rsidRPr="00F3311F">
        <w:rPr>
          <w:rFonts w:asciiTheme="majorHAnsi" w:hAnsiTheme="majorHAnsi" w:cstheme="majorHAnsi"/>
          <w:noProof/>
          <w:sz w:val="22"/>
          <w:lang w:val="es-ES"/>
        </w:rPr>
        <w:drawing>
          <wp:inline distT="0" distB="0" distL="0" distR="0" wp14:anchorId="0B32DC01" wp14:editId="392ECAC9">
            <wp:extent cx="838200" cy="8763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inline>
        </w:drawing>
      </w:r>
    </w:p>
    <w:p w14:paraId="3CFA1E64" w14:textId="77777777" w:rsidR="00720EF0" w:rsidRPr="00F3311F" w:rsidRDefault="00720EF0" w:rsidP="00D4710E">
      <w:pPr>
        <w:pStyle w:val="Textonotapie"/>
        <w:tabs>
          <w:tab w:val="left" w:pos="1021"/>
          <w:tab w:val="left" w:pos="8080"/>
        </w:tabs>
        <w:spacing w:line="276" w:lineRule="auto"/>
        <w:ind w:left="-284"/>
        <w:jc w:val="both"/>
        <w:rPr>
          <w:rFonts w:asciiTheme="majorHAnsi" w:hAnsiTheme="majorHAnsi" w:cstheme="majorHAnsi"/>
          <w:sz w:val="28"/>
        </w:rPr>
      </w:pPr>
    </w:p>
    <w:tbl>
      <w:tblPr>
        <w:tblW w:w="10580" w:type="dxa"/>
        <w:tblCellMar>
          <w:left w:w="70" w:type="dxa"/>
          <w:right w:w="70" w:type="dxa"/>
        </w:tblCellMar>
        <w:tblLook w:val="0000" w:firstRow="0" w:lastRow="0" w:firstColumn="0" w:lastColumn="0" w:noHBand="0" w:noVBand="0"/>
      </w:tblPr>
      <w:tblGrid>
        <w:gridCol w:w="10580"/>
      </w:tblGrid>
      <w:tr w:rsidR="00720EF0" w:rsidRPr="00F3311F" w14:paraId="7E08EB7C" w14:textId="77777777" w:rsidTr="00E22589">
        <w:tc>
          <w:tcPr>
            <w:tcW w:w="10580" w:type="dxa"/>
          </w:tcPr>
          <w:p w14:paraId="626CABD5" w14:textId="77777777" w:rsidR="002F20B4" w:rsidRPr="00F3311F" w:rsidRDefault="002F20B4" w:rsidP="00D4710E">
            <w:pPr>
              <w:tabs>
                <w:tab w:val="left" w:pos="1134"/>
              </w:tabs>
              <w:spacing w:line="276" w:lineRule="auto"/>
              <w:jc w:val="both"/>
              <w:rPr>
                <w:rFonts w:asciiTheme="majorHAnsi" w:hAnsiTheme="majorHAnsi" w:cstheme="majorHAnsi"/>
                <w:b/>
                <w:spacing w:val="324"/>
                <w:sz w:val="18"/>
                <w:lang w:val="fr-FR"/>
              </w:rPr>
            </w:pPr>
            <w:r w:rsidRPr="00F3311F">
              <w:rPr>
                <w:rFonts w:asciiTheme="majorHAnsi" w:hAnsiTheme="majorHAnsi" w:cstheme="majorHAnsi"/>
                <w:noProof/>
                <w:sz w:val="28"/>
                <w:szCs w:val="24"/>
                <w:lang w:val="es-ES"/>
              </w:rPr>
              <mc:AlternateContent>
                <mc:Choice Requires="wps">
                  <w:drawing>
                    <wp:anchor distT="45720" distB="45720" distL="114300" distR="114300" simplePos="0" relativeHeight="251661312" behindDoc="0" locked="0" layoutInCell="1" allowOverlap="1" wp14:anchorId="5326523E" wp14:editId="002DEA78">
                      <wp:simplePos x="0" y="0"/>
                      <wp:positionH relativeFrom="column">
                        <wp:posOffset>3810</wp:posOffset>
                      </wp:positionH>
                      <wp:positionV relativeFrom="paragraph">
                        <wp:posOffset>207010</wp:posOffset>
                      </wp:positionV>
                      <wp:extent cx="6600825" cy="1404620"/>
                      <wp:effectExtent l="0" t="0" r="28575" b="2413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72FD5F72" w14:textId="77777777" w:rsidR="00BC04DA" w:rsidRPr="002F20B4" w:rsidRDefault="00BC04DA" w:rsidP="002F20B4">
                                  <w:pPr>
                                    <w:jc w:val="both"/>
                                    <w:rPr>
                                      <w:rFonts w:ascii="Arial" w:hAnsi="Arial" w:cs="Arial"/>
                                      <w:b/>
                                      <w:i/>
                                    </w:rPr>
                                  </w:pPr>
                                  <w:r w:rsidRPr="002F20B4">
                                    <w:rPr>
                                      <w:rFonts w:ascii="Arial" w:hAnsi="Arial" w:cs="Arial"/>
                                      <w:b/>
                                      <w:i/>
                                    </w:rPr>
                                    <w:t>El presente documento tiene como objetivo facilitar el trabajo de elaboración del Plan Estratégico de la PAC post-2020. No tiene carácter jurídico ni prejuzga la posición del Ministerio de Agricultura, Pesca y Alimentación.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26523E" id="_x0000_t202" coordsize="21600,21600" o:spt="202" path="m,l,21600r21600,l21600,xe">
                      <v:stroke joinstyle="miter"/>
                      <v:path gradientshapeok="t" o:connecttype="rect"/>
                    </v:shapetype>
                    <v:shape id="Cuadro de texto 2" o:spid="_x0000_s1026" type="#_x0000_t202" style="position:absolute;left:0;text-align:left;margin-left:.3pt;margin-top:16.3pt;width:519.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">
                      <v:textbox style="mso-fit-shape-to-text:t">
                        <w:txbxContent>
                          <w:p w14:paraId="72FD5F72" w14:textId="77777777" w:rsidR="00BC04DA" w:rsidRPr="002F20B4" w:rsidRDefault="00BC04DA" w:rsidP="002F20B4">
                            <w:pPr>
                              <w:jc w:val="both"/>
                              <w:rPr>
                                <w:rFonts w:ascii="Arial" w:hAnsi="Arial" w:cs="Arial"/>
                                <w:b/>
                                <w:i/>
                              </w:rPr>
                            </w:pPr>
                            <w:r w:rsidRPr="002F20B4">
                              <w:rPr>
                                <w:rFonts w:ascii="Arial" w:hAnsi="Arial" w:cs="Arial"/>
                                <w:b/>
                                <w:i/>
                              </w:rPr>
                              <w:t>El presente documento tiene como objetivo facilitar el trabajo de elaboración del Plan Estratégico de la PAC post-2020. No tiene carácter jurídico ni prejuzga la posición del Ministerio de Agricultura, Pesca y Alimentación.</w:t>
                            </w:r>
                          </w:p>
                        </w:txbxContent>
                      </v:textbox>
                      <w10:wrap type="square"/>
                    </v:shape>
                  </w:pict>
                </mc:Fallback>
              </mc:AlternateContent>
            </w:r>
          </w:p>
        </w:tc>
      </w:tr>
    </w:tbl>
    <w:p w14:paraId="373EDD79" w14:textId="77777777" w:rsidR="00720EF0" w:rsidRPr="00F3311F" w:rsidRDefault="00720EF0" w:rsidP="00D4710E">
      <w:pPr>
        <w:pStyle w:val="Ttulo3"/>
        <w:spacing w:line="276" w:lineRule="auto"/>
        <w:jc w:val="both"/>
        <w:rPr>
          <w:rFonts w:asciiTheme="majorHAnsi" w:hAnsiTheme="majorHAnsi" w:cstheme="majorHAnsi"/>
          <w:sz w:val="28"/>
          <w:lang w:val="es-ES"/>
        </w:rPr>
        <w:sectPr w:rsidR="00720EF0" w:rsidRPr="00F3311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992" w:right="567" w:bottom="255" w:left="794" w:header="567" w:footer="1010" w:gutter="0"/>
          <w:cols w:space="720" w:equalWidth="0">
            <w:col w:w="9411"/>
          </w:cols>
          <w:titlePg/>
        </w:sectPr>
      </w:pPr>
      <w:r w:rsidRPr="00F3311F">
        <w:rPr>
          <w:rFonts w:asciiTheme="majorHAnsi" w:hAnsiTheme="majorHAnsi" w:cstheme="majorHAnsi"/>
          <w:sz w:val="20"/>
        </w:rPr>
        <w:fldChar w:fldCharType="begin">
          <w:ffData>
            <w:name w:val="Texto18"/>
            <w:enabled w:val="0"/>
            <w:calcOnExit w:val="0"/>
            <w:textInput/>
          </w:ffData>
        </w:fldChar>
      </w:r>
      <w:bookmarkStart w:id="0" w:name="Texto18"/>
      <w:r w:rsidRPr="00F3311F">
        <w:rPr>
          <w:rFonts w:asciiTheme="majorHAnsi" w:hAnsiTheme="majorHAnsi" w:cstheme="majorHAnsi"/>
          <w:sz w:val="20"/>
        </w:rPr>
        <w:instrText xml:space="preserve"> FORMTEXT </w:instrText>
      </w:r>
      <w:r w:rsidRPr="00F3311F">
        <w:rPr>
          <w:rFonts w:asciiTheme="majorHAnsi" w:hAnsiTheme="majorHAnsi" w:cstheme="majorHAnsi"/>
          <w:sz w:val="20"/>
        </w:rPr>
      </w:r>
      <w:r w:rsidRPr="00F3311F">
        <w:rPr>
          <w:rFonts w:asciiTheme="majorHAnsi" w:hAnsiTheme="majorHAnsi" w:cstheme="majorHAnsi"/>
          <w:sz w:val="20"/>
        </w:rPr>
        <w:fldChar w:fldCharType="separate"/>
      </w:r>
      <w:bookmarkStart w:id="1" w:name="_Toc14695462"/>
      <w:bookmarkStart w:id="2" w:name="_Toc14694385"/>
      <w:bookmarkStart w:id="3" w:name="_Toc14688296"/>
      <w:bookmarkStart w:id="4" w:name="_Toc14688215"/>
      <w:bookmarkStart w:id="5" w:name="_Toc14688017"/>
      <w:bookmarkStart w:id="6" w:name="_Toc14687925"/>
      <w:bookmarkStart w:id="7" w:name="_Toc14687808"/>
      <w:bookmarkStart w:id="8" w:name="_Toc14687056"/>
      <w:bookmarkStart w:id="9" w:name="_Toc14435984"/>
      <w:bookmarkStart w:id="10" w:name="_Toc14435817"/>
      <w:bookmarkStart w:id="11" w:name="_Toc14434092"/>
      <w:bookmarkStart w:id="12" w:name="_Toc13731547"/>
      <w:bookmarkStart w:id="13" w:name="_Toc13649033"/>
      <w:bookmarkStart w:id="14" w:name="_Toc13648987"/>
      <w:bookmarkStart w:id="15" w:name="_Toc13648939"/>
      <w:bookmarkStart w:id="16" w:name="_Toc13648330"/>
      <w:bookmarkStart w:id="17" w:name="_Toc13646362"/>
      <w:bookmarkStart w:id="18" w:name="_Toc13481759"/>
      <w:bookmarkStart w:id="19" w:name="_Toc13143564"/>
      <w:bookmarkStart w:id="20" w:name="_Toc13142353"/>
      <w:bookmarkStart w:id="21" w:name="_Toc13140929"/>
      <w:bookmarkStart w:id="22" w:name="_Toc13137111"/>
      <w:bookmarkStart w:id="23" w:name="_Toc13136960"/>
      <w:bookmarkStart w:id="24" w:name="_Toc13050538"/>
      <w:bookmarkStart w:id="25" w:name="_Toc13050490"/>
      <w:bookmarkStart w:id="26" w:name="_Toc13043361"/>
      <w:bookmarkStart w:id="27" w:name="_Toc13041383"/>
      <w:bookmarkStart w:id="28" w:name="_Toc12879293"/>
      <w:bookmarkStart w:id="29" w:name="_Toc12878609"/>
      <w:bookmarkStart w:id="30" w:name="_Toc12875541"/>
      <w:bookmarkStart w:id="31" w:name="_Toc12870408"/>
      <w:bookmarkStart w:id="32" w:name="_Toc12614514"/>
      <w:bookmarkStart w:id="33" w:name="_Toc12437125"/>
      <w:bookmarkStart w:id="34" w:name="_Toc12430618"/>
      <w:bookmarkStart w:id="35" w:name="_Toc11686506"/>
      <w:bookmarkStart w:id="36" w:name="_Toc11161503"/>
      <w:bookmarkStart w:id="37" w:name="_Toc11162514"/>
      <w:bookmarkStart w:id="38" w:name="_Toc11162609"/>
      <w:bookmarkStart w:id="39" w:name="_Toc11162843"/>
      <w:bookmarkStart w:id="40" w:name="_Toc11162989"/>
      <w:bookmarkStart w:id="41" w:name="_Toc11163447"/>
      <w:bookmarkStart w:id="42" w:name="_Toc11163751"/>
      <w:bookmarkStart w:id="43" w:name="_Toc11755769"/>
      <w:bookmarkStart w:id="44" w:name="_Toc11758551"/>
      <w:bookmarkStart w:id="45" w:name="_Toc12525475"/>
      <w:bookmarkStart w:id="46" w:name="_Toc12865300"/>
      <w:bookmarkStart w:id="47" w:name="_Toc12866921"/>
      <w:bookmarkStart w:id="48" w:name="_Toc12869403"/>
      <w:bookmarkStart w:id="49" w:name="_Toc13048489"/>
      <w:bookmarkStart w:id="50" w:name="_Toc13553924"/>
      <w:bookmarkStart w:id="51" w:name="_Toc13566019"/>
      <w:bookmarkStart w:id="52" w:name="_Toc13571685"/>
      <w:bookmarkStart w:id="53" w:name="_Toc13741065"/>
      <w:bookmarkStart w:id="54" w:name="_Toc14249388"/>
      <w:bookmarkStart w:id="55" w:name="_Toc14249583"/>
      <w:r w:rsidR="00D427D3" w:rsidRPr="00F3311F">
        <w:rPr>
          <w:rFonts w:asciiTheme="majorHAnsi" w:hAnsiTheme="majorHAnsi" w:cstheme="majorHAnsi"/>
          <w:noProof/>
          <w:sz w:val="20"/>
        </w:rPr>
        <w:t> </w:t>
      </w:r>
      <w:r w:rsidR="00D427D3" w:rsidRPr="00F3311F">
        <w:rPr>
          <w:rFonts w:asciiTheme="majorHAnsi" w:hAnsiTheme="majorHAnsi" w:cstheme="majorHAnsi"/>
          <w:noProof/>
          <w:sz w:val="20"/>
        </w:rPr>
        <w:t> </w:t>
      </w:r>
      <w:r w:rsidR="00D427D3" w:rsidRPr="00F3311F">
        <w:rPr>
          <w:rFonts w:asciiTheme="majorHAnsi" w:hAnsiTheme="majorHAnsi" w:cstheme="majorHAnsi"/>
          <w:noProof/>
          <w:sz w:val="20"/>
        </w:rPr>
        <w:t> </w:t>
      </w:r>
      <w:r w:rsidR="00D427D3" w:rsidRPr="00F3311F">
        <w:rPr>
          <w:rFonts w:asciiTheme="majorHAnsi" w:hAnsiTheme="majorHAnsi" w:cstheme="majorHAnsi"/>
          <w:noProof/>
          <w:sz w:val="20"/>
        </w:rPr>
        <w:t> </w:t>
      </w:r>
      <w:r w:rsidR="00D427D3" w:rsidRPr="00F3311F">
        <w:rPr>
          <w:rFonts w:asciiTheme="majorHAnsi" w:hAnsiTheme="majorHAnsi" w:cstheme="majorHAnsi"/>
          <w:noProof/>
          <w:sz w:val="20"/>
        </w:rPr>
        <w:t>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3311F">
        <w:rPr>
          <w:rFonts w:asciiTheme="majorHAnsi" w:hAnsiTheme="majorHAnsi" w:cstheme="majorHAnsi"/>
          <w:sz w:val="20"/>
        </w:rPr>
        <w:fldChar w:fldCharType="end"/>
      </w:r>
      <w:bookmarkEnd w:id="0"/>
    </w:p>
    <w:p w14:paraId="01C33451" w14:textId="31E2DC3B" w:rsidR="00E22589" w:rsidRPr="00F3311F" w:rsidRDefault="002D6AE0" w:rsidP="00D4710E">
      <w:pPr>
        <w:pStyle w:val="Textonotapie"/>
        <w:tabs>
          <w:tab w:val="left" w:pos="-2552"/>
        </w:tabs>
        <w:spacing w:line="276" w:lineRule="auto"/>
        <w:ind w:right="-852"/>
        <w:jc w:val="both"/>
        <w:rPr>
          <w:rFonts w:asciiTheme="majorHAnsi" w:hAnsiTheme="majorHAnsi" w:cstheme="majorHAnsi"/>
          <w:sz w:val="28"/>
          <w:szCs w:val="24"/>
          <w:u w:val="single"/>
        </w:rPr>
      </w:pPr>
      <w:r w:rsidRPr="00F3311F">
        <w:rPr>
          <w:rFonts w:asciiTheme="majorHAnsi" w:hAnsiTheme="majorHAnsi" w:cstheme="majorHAnsi"/>
          <w:sz w:val="28"/>
          <w:szCs w:val="24"/>
          <w:u w:val="single"/>
        </w:rPr>
        <w:t xml:space="preserve">V </w:t>
      </w:r>
      <w:r w:rsidR="00C21C1A">
        <w:rPr>
          <w:rFonts w:asciiTheme="majorHAnsi" w:hAnsiTheme="majorHAnsi" w:cstheme="majorHAnsi"/>
          <w:sz w:val="28"/>
          <w:szCs w:val="24"/>
          <w:u w:val="single"/>
        </w:rPr>
        <w:t>8</w:t>
      </w:r>
    </w:p>
    <w:p w14:paraId="6DA12D1A" w14:textId="114BA07E" w:rsidR="002D6AE0" w:rsidRPr="00F3311F" w:rsidRDefault="000A13D9" w:rsidP="00D4710E">
      <w:pPr>
        <w:pStyle w:val="Textonotapie"/>
        <w:tabs>
          <w:tab w:val="left" w:pos="-2552"/>
        </w:tabs>
        <w:spacing w:line="276" w:lineRule="auto"/>
        <w:jc w:val="both"/>
        <w:rPr>
          <w:rFonts w:asciiTheme="majorHAnsi" w:hAnsiTheme="majorHAnsi" w:cstheme="majorHAnsi"/>
          <w:sz w:val="28"/>
          <w:szCs w:val="24"/>
          <w:u w:val="single"/>
        </w:rPr>
      </w:pPr>
      <w:r>
        <w:rPr>
          <w:rFonts w:asciiTheme="majorHAnsi" w:hAnsiTheme="majorHAnsi" w:cstheme="majorHAnsi"/>
          <w:sz w:val="36"/>
          <w:szCs w:val="24"/>
          <w:u w:val="single"/>
        </w:rPr>
        <w:t>Documento Base</w:t>
      </w:r>
      <w:r w:rsidR="002D6AE0" w:rsidRPr="00F3311F">
        <w:rPr>
          <w:rFonts w:asciiTheme="majorHAnsi" w:hAnsiTheme="majorHAnsi" w:cstheme="majorHAnsi"/>
          <w:sz w:val="36"/>
          <w:szCs w:val="24"/>
          <w:u w:val="single"/>
        </w:rPr>
        <w:t>:</w:t>
      </w:r>
      <w:r w:rsidR="000061DD">
        <w:rPr>
          <w:rFonts w:asciiTheme="majorHAnsi" w:hAnsiTheme="majorHAnsi" w:cstheme="majorHAnsi"/>
          <w:sz w:val="36"/>
          <w:szCs w:val="24"/>
          <w:u w:val="single"/>
        </w:rPr>
        <w:t xml:space="preserve"> Objetivo</w:t>
      </w:r>
      <w:r w:rsidR="00117F28" w:rsidRPr="00F3311F">
        <w:rPr>
          <w:rFonts w:asciiTheme="majorHAnsi" w:hAnsiTheme="majorHAnsi" w:cstheme="majorHAnsi"/>
          <w:sz w:val="36"/>
          <w:szCs w:val="24"/>
          <w:u w:val="single"/>
        </w:rPr>
        <w:t xml:space="preserve"> 3 </w:t>
      </w:r>
    </w:p>
    <w:sdt>
      <w:sdtPr>
        <w:rPr>
          <w:rFonts w:ascii="Times New Roman" w:eastAsia="Times New Roman" w:hAnsi="Times New Roman" w:cstheme="majorHAnsi"/>
          <w:color w:val="auto"/>
          <w:sz w:val="22"/>
          <w:szCs w:val="20"/>
          <w:lang w:val="es-ES_tradnl"/>
        </w:rPr>
        <w:id w:val="-411473061"/>
        <w:docPartObj>
          <w:docPartGallery w:val="Table of Contents"/>
          <w:docPartUnique/>
        </w:docPartObj>
      </w:sdtPr>
      <w:sdtEndPr>
        <w:rPr>
          <w:b/>
          <w:bCs/>
        </w:rPr>
      </w:sdtEndPr>
      <w:sdtContent>
        <w:p w14:paraId="0AE71186" w14:textId="6C24EF5A" w:rsidR="00117F28" w:rsidRPr="00F3311F" w:rsidRDefault="00075696" w:rsidP="00D4710E">
          <w:pPr>
            <w:pStyle w:val="TtulodeTDC"/>
            <w:spacing w:line="276" w:lineRule="auto"/>
            <w:jc w:val="both"/>
            <w:rPr>
              <w:rFonts w:cstheme="majorHAnsi"/>
              <w:sz w:val="36"/>
            </w:rPr>
          </w:pPr>
          <w:r w:rsidRPr="00F3311F">
            <w:rPr>
              <w:rFonts w:cstheme="majorHAnsi"/>
              <w:sz w:val="36"/>
            </w:rPr>
            <w:t>Índice</w:t>
          </w:r>
        </w:p>
        <w:p w14:paraId="084FCA59" w14:textId="77777777" w:rsidR="00201DBF" w:rsidRDefault="00117F28">
          <w:pPr>
            <w:pStyle w:val="TDC1"/>
            <w:tabs>
              <w:tab w:val="left" w:pos="400"/>
              <w:tab w:val="right" w:leader="dot" w:pos="8494"/>
            </w:tabs>
            <w:rPr>
              <w:rFonts w:asciiTheme="minorHAnsi" w:eastAsiaTheme="minorEastAsia" w:hAnsiTheme="minorHAnsi" w:cstheme="minorBidi"/>
              <w:noProof/>
              <w:sz w:val="22"/>
              <w:szCs w:val="22"/>
              <w:lang w:val="es-ES"/>
            </w:rPr>
          </w:pPr>
          <w:r w:rsidRPr="00F3311F">
            <w:rPr>
              <w:rFonts w:asciiTheme="majorHAnsi" w:hAnsiTheme="majorHAnsi" w:cstheme="majorHAnsi"/>
              <w:b/>
              <w:bCs/>
              <w:sz w:val="22"/>
            </w:rPr>
            <w:fldChar w:fldCharType="begin"/>
          </w:r>
          <w:r w:rsidRPr="00F3311F">
            <w:rPr>
              <w:rFonts w:asciiTheme="majorHAnsi" w:hAnsiTheme="majorHAnsi" w:cstheme="majorHAnsi"/>
              <w:b/>
              <w:bCs/>
              <w:sz w:val="22"/>
            </w:rPr>
            <w:instrText xml:space="preserve"> TOC \o "1-3" \h \z \u </w:instrText>
          </w:r>
          <w:r w:rsidRPr="00F3311F">
            <w:rPr>
              <w:rFonts w:asciiTheme="majorHAnsi" w:hAnsiTheme="majorHAnsi" w:cstheme="majorHAnsi"/>
              <w:b/>
              <w:bCs/>
              <w:sz w:val="22"/>
            </w:rPr>
            <w:fldChar w:fldCharType="separate"/>
          </w:r>
          <w:hyperlink w:anchor="_Toc14695463" w:history="1">
            <w:r w:rsidR="00201DBF" w:rsidRPr="00657C4E">
              <w:rPr>
                <w:rStyle w:val="Hipervnculo"/>
                <w:rFonts w:asciiTheme="majorHAnsi" w:hAnsiTheme="majorHAnsi" w:cstheme="majorHAnsi"/>
                <w:noProof/>
              </w:rPr>
              <w:t>1.</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Objetivo 3 de la PAC post 2020: Descripción</w:t>
            </w:r>
            <w:r w:rsidR="00201DBF">
              <w:rPr>
                <w:noProof/>
                <w:webHidden/>
              </w:rPr>
              <w:tab/>
            </w:r>
            <w:r w:rsidR="00201DBF">
              <w:rPr>
                <w:noProof/>
                <w:webHidden/>
              </w:rPr>
              <w:fldChar w:fldCharType="begin"/>
            </w:r>
            <w:r w:rsidR="00201DBF">
              <w:rPr>
                <w:noProof/>
                <w:webHidden/>
              </w:rPr>
              <w:instrText xml:space="preserve"> PAGEREF _Toc14695463 \h </w:instrText>
            </w:r>
            <w:r w:rsidR="00201DBF">
              <w:rPr>
                <w:noProof/>
                <w:webHidden/>
              </w:rPr>
            </w:r>
            <w:r w:rsidR="00201DBF">
              <w:rPr>
                <w:noProof/>
                <w:webHidden/>
              </w:rPr>
              <w:fldChar w:fldCharType="separate"/>
            </w:r>
            <w:r w:rsidR="00201DBF">
              <w:rPr>
                <w:noProof/>
                <w:webHidden/>
              </w:rPr>
              <w:t>3</w:t>
            </w:r>
            <w:r w:rsidR="00201DBF">
              <w:rPr>
                <w:noProof/>
                <w:webHidden/>
              </w:rPr>
              <w:fldChar w:fldCharType="end"/>
            </w:r>
          </w:hyperlink>
        </w:p>
        <w:p w14:paraId="78127672" w14:textId="77777777" w:rsidR="00201DBF" w:rsidRDefault="00BC04DA">
          <w:pPr>
            <w:pStyle w:val="TDC1"/>
            <w:tabs>
              <w:tab w:val="left" w:pos="400"/>
              <w:tab w:val="right" w:leader="dot" w:pos="8494"/>
            </w:tabs>
            <w:rPr>
              <w:rFonts w:asciiTheme="minorHAnsi" w:eastAsiaTheme="minorEastAsia" w:hAnsiTheme="minorHAnsi" w:cstheme="minorBidi"/>
              <w:noProof/>
              <w:sz w:val="22"/>
              <w:szCs w:val="22"/>
              <w:lang w:val="es-ES"/>
            </w:rPr>
          </w:pPr>
          <w:hyperlink w:anchor="_Toc14695464" w:history="1">
            <w:r w:rsidR="00201DBF" w:rsidRPr="00657C4E">
              <w:rPr>
                <w:rStyle w:val="Hipervnculo"/>
                <w:rFonts w:asciiTheme="majorHAnsi" w:hAnsiTheme="majorHAnsi" w:cstheme="majorHAnsi"/>
                <w:noProof/>
              </w:rPr>
              <w:t>2.</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Informacion aportada por el Brief de la Comisión</w:t>
            </w:r>
            <w:r w:rsidR="00201DBF">
              <w:rPr>
                <w:noProof/>
                <w:webHidden/>
              </w:rPr>
              <w:tab/>
            </w:r>
            <w:r w:rsidR="00201DBF">
              <w:rPr>
                <w:noProof/>
                <w:webHidden/>
              </w:rPr>
              <w:fldChar w:fldCharType="begin"/>
            </w:r>
            <w:r w:rsidR="00201DBF">
              <w:rPr>
                <w:noProof/>
                <w:webHidden/>
              </w:rPr>
              <w:instrText xml:space="preserve"> PAGEREF _Toc14695464 \h </w:instrText>
            </w:r>
            <w:r w:rsidR="00201DBF">
              <w:rPr>
                <w:noProof/>
                <w:webHidden/>
              </w:rPr>
            </w:r>
            <w:r w:rsidR="00201DBF">
              <w:rPr>
                <w:noProof/>
                <w:webHidden/>
              </w:rPr>
              <w:fldChar w:fldCharType="separate"/>
            </w:r>
            <w:r w:rsidR="00201DBF">
              <w:rPr>
                <w:noProof/>
                <w:webHidden/>
              </w:rPr>
              <w:t>4</w:t>
            </w:r>
            <w:r w:rsidR="00201DBF">
              <w:rPr>
                <w:noProof/>
                <w:webHidden/>
              </w:rPr>
              <w:fldChar w:fldCharType="end"/>
            </w:r>
          </w:hyperlink>
        </w:p>
        <w:p w14:paraId="7756E381" w14:textId="77777777" w:rsidR="00201DBF" w:rsidRDefault="00BC04DA">
          <w:pPr>
            <w:pStyle w:val="TDC1"/>
            <w:tabs>
              <w:tab w:val="left" w:pos="400"/>
              <w:tab w:val="right" w:leader="dot" w:pos="8494"/>
            </w:tabs>
            <w:rPr>
              <w:rFonts w:asciiTheme="minorHAnsi" w:eastAsiaTheme="minorEastAsia" w:hAnsiTheme="minorHAnsi" w:cstheme="minorBidi"/>
              <w:noProof/>
              <w:sz w:val="22"/>
              <w:szCs w:val="22"/>
              <w:lang w:val="es-ES"/>
            </w:rPr>
          </w:pPr>
          <w:hyperlink w:anchor="_Toc14695465" w:history="1">
            <w:r w:rsidR="00201DBF" w:rsidRPr="00657C4E">
              <w:rPr>
                <w:rStyle w:val="Hipervnculo"/>
                <w:rFonts w:asciiTheme="majorHAnsi" w:hAnsiTheme="majorHAnsi" w:cstheme="majorHAnsi"/>
                <w:noProof/>
              </w:rPr>
              <w:t>3.</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Descripción de la situación de partida</w:t>
            </w:r>
            <w:r w:rsidR="00201DBF">
              <w:rPr>
                <w:noProof/>
                <w:webHidden/>
              </w:rPr>
              <w:tab/>
            </w:r>
            <w:r w:rsidR="00201DBF">
              <w:rPr>
                <w:noProof/>
                <w:webHidden/>
              </w:rPr>
              <w:fldChar w:fldCharType="begin"/>
            </w:r>
            <w:r w:rsidR="00201DBF">
              <w:rPr>
                <w:noProof/>
                <w:webHidden/>
              </w:rPr>
              <w:instrText xml:space="preserve"> PAGEREF _Toc14695465 \h </w:instrText>
            </w:r>
            <w:r w:rsidR="00201DBF">
              <w:rPr>
                <w:noProof/>
                <w:webHidden/>
              </w:rPr>
            </w:r>
            <w:r w:rsidR="00201DBF">
              <w:rPr>
                <w:noProof/>
                <w:webHidden/>
              </w:rPr>
              <w:fldChar w:fldCharType="separate"/>
            </w:r>
            <w:r w:rsidR="00201DBF">
              <w:rPr>
                <w:noProof/>
                <w:webHidden/>
              </w:rPr>
              <w:t>12</w:t>
            </w:r>
            <w:r w:rsidR="00201DBF">
              <w:rPr>
                <w:noProof/>
                <w:webHidden/>
              </w:rPr>
              <w:fldChar w:fldCharType="end"/>
            </w:r>
          </w:hyperlink>
        </w:p>
        <w:p w14:paraId="5B62C1E0"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66" w:history="1">
            <w:r w:rsidR="00201DBF" w:rsidRPr="00657C4E">
              <w:rPr>
                <w:rStyle w:val="Hipervnculo"/>
                <w:rFonts w:asciiTheme="majorHAnsi" w:hAnsiTheme="majorHAnsi" w:cstheme="majorHAnsi"/>
                <w:noProof/>
              </w:rPr>
              <w:t>3.1 Consideraciones generales de la cadena Alimentaria</w:t>
            </w:r>
            <w:r w:rsidR="00201DBF">
              <w:rPr>
                <w:noProof/>
                <w:webHidden/>
              </w:rPr>
              <w:tab/>
            </w:r>
            <w:r w:rsidR="00201DBF">
              <w:rPr>
                <w:noProof/>
                <w:webHidden/>
              </w:rPr>
              <w:fldChar w:fldCharType="begin"/>
            </w:r>
            <w:r w:rsidR="00201DBF">
              <w:rPr>
                <w:noProof/>
                <w:webHidden/>
              </w:rPr>
              <w:instrText xml:space="preserve"> PAGEREF _Toc14695466 \h </w:instrText>
            </w:r>
            <w:r w:rsidR="00201DBF">
              <w:rPr>
                <w:noProof/>
                <w:webHidden/>
              </w:rPr>
            </w:r>
            <w:r w:rsidR="00201DBF">
              <w:rPr>
                <w:noProof/>
                <w:webHidden/>
              </w:rPr>
              <w:fldChar w:fldCharType="separate"/>
            </w:r>
            <w:r w:rsidR="00201DBF">
              <w:rPr>
                <w:noProof/>
                <w:webHidden/>
              </w:rPr>
              <w:t>12</w:t>
            </w:r>
            <w:r w:rsidR="00201DBF">
              <w:rPr>
                <w:noProof/>
                <w:webHidden/>
              </w:rPr>
              <w:fldChar w:fldCharType="end"/>
            </w:r>
          </w:hyperlink>
        </w:p>
        <w:p w14:paraId="76B48B82"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67" w:history="1">
            <w:r w:rsidR="00201DBF" w:rsidRPr="00657C4E">
              <w:rPr>
                <w:rStyle w:val="Hipervnculo"/>
                <w:rFonts w:asciiTheme="majorHAnsi" w:hAnsiTheme="majorHAnsi" w:cstheme="majorHAnsi"/>
                <w:noProof/>
              </w:rPr>
              <w:t>3.2 Análisis de los eslabones</w:t>
            </w:r>
            <w:r w:rsidR="00201DBF">
              <w:rPr>
                <w:noProof/>
                <w:webHidden/>
              </w:rPr>
              <w:tab/>
            </w:r>
            <w:r w:rsidR="00201DBF">
              <w:rPr>
                <w:noProof/>
                <w:webHidden/>
              </w:rPr>
              <w:fldChar w:fldCharType="begin"/>
            </w:r>
            <w:r w:rsidR="00201DBF">
              <w:rPr>
                <w:noProof/>
                <w:webHidden/>
              </w:rPr>
              <w:instrText xml:space="preserve"> PAGEREF _Toc14695467 \h </w:instrText>
            </w:r>
            <w:r w:rsidR="00201DBF">
              <w:rPr>
                <w:noProof/>
                <w:webHidden/>
              </w:rPr>
            </w:r>
            <w:r w:rsidR="00201DBF">
              <w:rPr>
                <w:noProof/>
                <w:webHidden/>
              </w:rPr>
              <w:fldChar w:fldCharType="separate"/>
            </w:r>
            <w:r w:rsidR="00201DBF">
              <w:rPr>
                <w:noProof/>
                <w:webHidden/>
              </w:rPr>
              <w:t>19</w:t>
            </w:r>
            <w:r w:rsidR="00201DBF">
              <w:rPr>
                <w:noProof/>
                <w:webHidden/>
              </w:rPr>
              <w:fldChar w:fldCharType="end"/>
            </w:r>
          </w:hyperlink>
        </w:p>
        <w:p w14:paraId="0758F1F7"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68" w:history="1">
            <w:r w:rsidR="00201DBF" w:rsidRPr="00657C4E">
              <w:rPr>
                <w:rStyle w:val="Hipervnculo"/>
                <w:rFonts w:asciiTheme="majorHAnsi" w:hAnsiTheme="majorHAnsi" w:cstheme="majorHAnsi"/>
                <w:noProof/>
              </w:rPr>
              <w:t>3.2.1 Sector productor</w:t>
            </w:r>
            <w:r w:rsidR="00201DBF" w:rsidRPr="00657C4E">
              <w:rPr>
                <w:rStyle w:val="Hipervnculo"/>
                <w:rFonts w:asciiTheme="majorHAnsi" w:hAnsiTheme="majorHAnsi" w:cstheme="majorHAnsi"/>
                <w:caps/>
                <w:noProof/>
              </w:rPr>
              <w:t>:</w:t>
            </w:r>
            <w:r w:rsidR="00201DBF">
              <w:rPr>
                <w:noProof/>
                <w:webHidden/>
              </w:rPr>
              <w:tab/>
            </w:r>
            <w:r w:rsidR="00201DBF">
              <w:rPr>
                <w:noProof/>
                <w:webHidden/>
              </w:rPr>
              <w:fldChar w:fldCharType="begin"/>
            </w:r>
            <w:r w:rsidR="00201DBF">
              <w:rPr>
                <w:noProof/>
                <w:webHidden/>
              </w:rPr>
              <w:instrText xml:space="preserve"> PAGEREF _Toc14695468 \h </w:instrText>
            </w:r>
            <w:r w:rsidR="00201DBF">
              <w:rPr>
                <w:noProof/>
                <w:webHidden/>
              </w:rPr>
            </w:r>
            <w:r w:rsidR="00201DBF">
              <w:rPr>
                <w:noProof/>
                <w:webHidden/>
              </w:rPr>
              <w:fldChar w:fldCharType="separate"/>
            </w:r>
            <w:r w:rsidR="00201DBF">
              <w:rPr>
                <w:noProof/>
                <w:webHidden/>
              </w:rPr>
              <w:t>19</w:t>
            </w:r>
            <w:r w:rsidR="00201DBF">
              <w:rPr>
                <w:noProof/>
                <w:webHidden/>
              </w:rPr>
              <w:fldChar w:fldCharType="end"/>
            </w:r>
          </w:hyperlink>
        </w:p>
        <w:p w14:paraId="7A474E65"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69" w:history="1">
            <w:r w:rsidR="00201DBF" w:rsidRPr="00657C4E">
              <w:rPr>
                <w:rStyle w:val="Hipervnculo"/>
                <w:rFonts w:asciiTheme="majorHAnsi" w:hAnsiTheme="majorHAnsi" w:cstheme="majorHAnsi"/>
                <w:noProof/>
              </w:rPr>
              <w:t>3.2.2 Sector de la transformación. La industria alimentaria</w:t>
            </w:r>
            <w:r w:rsidR="00201DBF">
              <w:rPr>
                <w:noProof/>
                <w:webHidden/>
              </w:rPr>
              <w:tab/>
            </w:r>
            <w:r w:rsidR="00201DBF">
              <w:rPr>
                <w:noProof/>
                <w:webHidden/>
              </w:rPr>
              <w:fldChar w:fldCharType="begin"/>
            </w:r>
            <w:r w:rsidR="00201DBF">
              <w:rPr>
                <w:noProof/>
                <w:webHidden/>
              </w:rPr>
              <w:instrText xml:space="preserve"> PAGEREF _Toc14695469 \h </w:instrText>
            </w:r>
            <w:r w:rsidR="00201DBF">
              <w:rPr>
                <w:noProof/>
                <w:webHidden/>
              </w:rPr>
            </w:r>
            <w:r w:rsidR="00201DBF">
              <w:rPr>
                <w:noProof/>
                <w:webHidden/>
              </w:rPr>
              <w:fldChar w:fldCharType="separate"/>
            </w:r>
            <w:r w:rsidR="00201DBF">
              <w:rPr>
                <w:noProof/>
                <w:webHidden/>
              </w:rPr>
              <w:t>24</w:t>
            </w:r>
            <w:r w:rsidR="00201DBF">
              <w:rPr>
                <w:noProof/>
                <w:webHidden/>
              </w:rPr>
              <w:fldChar w:fldCharType="end"/>
            </w:r>
          </w:hyperlink>
        </w:p>
        <w:p w14:paraId="1C976557"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70" w:history="1">
            <w:r w:rsidR="00201DBF" w:rsidRPr="00657C4E">
              <w:rPr>
                <w:rStyle w:val="Hipervnculo"/>
                <w:rFonts w:asciiTheme="majorHAnsi" w:hAnsiTheme="majorHAnsi" w:cstheme="majorHAnsi"/>
                <w:noProof/>
              </w:rPr>
              <w:t>3.2.3 Sector de la distribución</w:t>
            </w:r>
            <w:r w:rsidR="00201DBF">
              <w:rPr>
                <w:noProof/>
                <w:webHidden/>
              </w:rPr>
              <w:tab/>
            </w:r>
            <w:r w:rsidR="00201DBF">
              <w:rPr>
                <w:noProof/>
                <w:webHidden/>
              </w:rPr>
              <w:fldChar w:fldCharType="begin"/>
            </w:r>
            <w:r w:rsidR="00201DBF">
              <w:rPr>
                <w:noProof/>
                <w:webHidden/>
              </w:rPr>
              <w:instrText xml:space="preserve"> PAGEREF _Toc14695470 \h </w:instrText>
            </w:r>
            <w:r w:rsidR="00201DBF">
              <w:rPr>
                <w:noProof/>
                <w:webHidden/>
              </w:rPr>
            </w:r>
            <w:r w:rsidR="00201DBF">
              <w:rPr>
                <w:noProof/>
                <w:webHidden/>
              </w:rPr>
              <w:fldChar w:fldCharType="separate"/>
            </w:r>
            <w:r w:rsidR="00201DBF">
              <w:rPr>
                <w:noProof/>
                <w:webHidden/>
              </w:rPr>
              <w:t>27</w:t>
            </w:r>
            <w:r w:rsidR="00201DBF">
              <w:rPr>
                <w:noProof/>
                <w:webHidden/>
              </w:rPr>
              <w:fldChar w:fldCharType="end"/>
            </w:r>
          </w:hyperlink>
        </w:p>
        <w:p w14:paraId="77177CC4"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71" w:history="1">
            <w:r w:rsidR="00201DBF" w:rsidRPr="00657C4E">
              <w:rPr>
                <w:rStyle w:val="Hipervnculo"/>
                <w:rFonts w:asciiTheme="majorHAnsi" w:hAnsiTheme="majorHAnsi" w:cstheme="majorHAnsi"/>
                <w:noProof/>
              </w:rPr>
              <w:t>3.3 Papel del consumidor:</w:t>
            </w:r>
            <w:r w:rsidR="00201DBF">
              <w:rPr>
                <w:noProof/>
                <w:webHidden/>
              </w:rPr>
              <w:tab/>
            </w:r>
            <w:r w:rsidR="00201DBF">
              <w:rPr>
                <w:noProof/>
                <w:webHidden/>
              </w:rPr>
              <w:fldChar w:fldCharType="begin"/>
            </w:r>
            <w:r w:rsidR="00201DBF">
              <w:rPr>
                <w:noProof/>
                <w:webHidden/>
              </w:rPr>
              <w:instrText xml:space="preserve"> PAGEREF _Toc14695471 \h </w:instrText>
            </w:r>
            <w:r w:rsidR="00201DBF">
              <w:rPr>
                <w:noProof/>
                <w:webHidden/>
              </w:rPr>
            </w:r>
            <w:r w:rsidR="00201DBF">
              <w:rPr>
                <w:noProof/>
                <w:webHidden/>
              </w:rPr>
              <w:fldChar w:fldCharType="separate"/>
            </w:r>
            <w:r w:rsidR="00201DBF">
              <w:rPr>
                <w:noProof/>
                <w:webHidden/>
              </w:rPr>
              <w:t>28</w:t>
            </w:r>
            <w:r w:rsidR="00201DBF">
              <w:rPr>
                <w:noProof/>
                <w:webHidden/>
              </w:rPr>
              <w:fldChar w:fldCharType="end"/>
            </w:r>
          </w:hyperlink>
        </w:p>
        <w:p w14:paraId="5B1A53F4" w14:textId="77777777" w:rsidR="00201DBF" w:rsidRDefault="00BC04DA">
          <w:pPr>
            <w:pStyle w:val="TDC3"/>
            <w:tabs>
              <w:tab w:val="right" w:leader="dot" w:pos="8494"/>
            </w:tabs>
            <w:rPr>
              <w:rFonts w:asciiTheme="minorHAnsi" w:eastAsiaTheme="minorEastAsia" w:hAnsiTheme="minorHAnsi" w:cstheme="minorBidi"/>
              <w:noProof/>
              <w:sz w:val="22"/>
              <w:szCs w:val="22"/>
              <w:lang w:val="es-ES"/>
            </w:rPr>
          </w:pPr>
          <w:hyperlink w:anchor="_Toc14695472" w:history="1">
            <w:r w:rsidR="00201DBF" w:rsidRPr="00657C4E">
              <w:rPr>
                <w:rStyle w:val="Hipervnculo"/>
                <w:rFonts w:asciiTheme="majorHAnsi" w:hAnsiTheme="majorHAnsi" w:cstheme="majorHAnsi"/>
                <w:noProof/>
              </w:rPr>
              <w:t>- Usos, hábitos y tendencias de consumo de alimentos y bebidas</w:t>
            </w:r>
            <w:r w:rsidR="00201DBF">
              <w:rPr>
                <w:noProof/>
                <w:webHidden/>
              </w:rPr>
              <w:tab/>
            </w:r>
            <w:r w:rsidR="00201DBF">
              <w:rPr>
                <w:noProof/>
                <w:webHidden/>
              </w:rPr>
              <w:fldChar w:fldCharType="begin"/>
            </w:r>
            <w:r w:rsidR="00201DBF">
              <w:rPr>
                <w:noProof/>
                <w:webHidden/>
              </w:rPr>
              <w:instrText xml:space="preserve"> PAGEREF _Toc14695472 \h </w:instrText>
            </w:r>
            <w:r w:rsidR="00201DBF">
              <w:rPr>
                <w:noProof/>
                <w:webHidden/>
              </w:rPr>
            </w:r>
            <w:r w:rsidR="00201DBF">
              <w:rPr>
                <w:noProof/>
                <w:webHidden/>
              </w:rPr>
              <w:fldChar w:fldCharType="separate"/>
            </w:r>
            <w:r w:rsidR="00201DBF">
              <w:rPr>
                <w:noProof/>
                <w:webHidden/>
              </w:rPr>
              <w:t>29</w:t>
            </w:r>
            <w:r w:rsidR="00201DBF">
              <w:rPr>
                <w:noProof/>
                <w:webHidden/>
              </w:rPr>
              <w:fldChar w:fldCharType="end"/>
            </w:r>
          </w:hyperlink>
        </w:p>
        <w:p w14:paraId="1C138F16"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73" w:history="1">
            <w:r w:rsidR="00201DBF" w:rsidRPr="00657C4E">
              <w:rPr>
                <w:rStyle w:val="Hipervnculo"/>
                <w:rFonts w:asciiTheme="majorHAnsi" w:hAnsiTheme="majorHAnsi" w:cstheme="majorHAnsi"/>
                <w:noProof/>
              </w:rPr>
              <w:t>3.4 Aspectos diferenciales a tener en cuenta:</w:t>
            </w:r>
            <w:r w:rsidR="00201DBF">
              <w:rPr>
                <w:noProof/>
                <w:webHidden/>
              </w:rPr>
              <w:tab/>
            </w:r>
            <w:r w:rsidR="00201DBF">
              <w:rPr>
                <w:noProof/>
                <w:webHidden/>
              </w:rPr>
              <w:fldChar w:fldCharType="begin"/>
            </w:r>
            <w:r w:rsidR="00201DBF">
              <w:rPr>
                <w:noProof/>
                <w:webHidden/>
              </w:rPr>
              <w:instrText xml:space="preserve"> PAGEREF _Toc14695473 \h </w:instrText>
            </w:r>
            <w:r w:rsidR="00201DBF">
              <w:rPr>
                <w:noProof/>
                <w:webHidden/>
              </w:rPr>
            </w:r>
            <w:r w:rsidR="00201DBF">
              <w:rPr>
                <w:noProof/>
                <w:webHidden/>
              </w:rPr>
              <w:fldChar w:fldCharType="separate"/>
            </w:r>
            <w:r w:rsidR="00201DBF">
              <w:rPr>
                <w:noProof/>
                <w:webHidden/>
              </w:rPr>
              <w:t>33</w:t>
            </w:r>
            <w:r w:rsidR="00201DBF">
              <w:rPr>
                <w:noProof/>
                <w:webHidden/>
              </w:rPr>
              <w:fldChar w:fldCharType="end"/>
            </w:r>
          </w:hyperlink>
        </w:p>
        <w:p w14:paraId="3564F17F"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81" w:history="1">
            <w:r w:rsidR="00201DBF" w:rsidRPr="00657C4E">
              <w:rPr>
                <w:rStyle w:val="Hipervnculo"/>
                <w:rFonts w:asciiTheme="majorHAnsi" w:hAnsiTheme="majorHAnsi" w:cstheme="majorHAnsi"/>
                <w:bCs/>
                <w:noProof/>
              </w:rPr>
              <w:t>3.5.</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Factores que dificultan el funcionamiento de la cadena de valor agroalimentaria</w:t>
            </w:r>
            <w:r w:rsidR="00201DBF" w:rsidRPr="00657C4E">
              <w:rPr>
                <w:rStyle w:val="Hipervnculo"/>
                <w:rFonts w:asciiTheme="majorHAnsi" w:hAnsiTheme="majorHAnsi" w:cstheme="majorHAnsi"/>
                <w:bCs/>
                <w:noProof/>
              </w:rPr>
              <w:t>.</w:t>
            </w:r>
            <w:r w:rsidR="00201DBF">
              <w:rPr>
                <w:noProof/>
                <w:webHidden/>
              </w:rPr>
              <w:tab/>
            </w:r>
            <w:r w:rsidR="00201DBF">
              <w:rPr>
                <w:noProof/>
                <w:webHidden/>
              </w:rPr>
              <w:fldChar w:fldCharType="begin"/>
            </w:r>
            <w:r w:rsidR="00201DBF">
              <w:rPr>
                <w:noProof/>
                <w:webHidden/>
              </w:rPr>
              <w:instrText xml:space="preserve"> PAGEREF _Toc14695481 \h </w:instrText>
            </w:r>
            <w:r w:rsidR="00201DBF">
              <w:rPr>
                <w:noProof/>
                <w:webHidden/>
              </w:rPr>
            </w:r>
            <w:r w:rsidR="00201DBF">
              <w:rPr>
                <w:noProof/>
                <w:webHidden/>
              </w:rPr>
              <w:fldChar w:fldCharType="separate"/>
            </w:r>
            <w:r w:rsidR="00201DBF">
              <w:rPr>
                <w:noProof/>
                <w:webHidden/>
              </w:rPr>
              <w:t>39</w:t>
            </w:r>
            <w:r w:rsidR="00201DBF">
              <w:rPr>
                <w:noProof/>
                <w:webHidden/>
              </w:rPr>
              <w:fldChar w:fldCharType="end"/>
            </w:r>
          </w:hyperlink>
        </w:p>
        <w:p w14:paraId="7C9158F2"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0" w:history="1">
            <w:r w:rsidR="00201DBF" w:rsidRPr="00657C4E">
              <w:rPr>
                <w:rStyle w:val="Hipervnculo"/>
                <w:rFonts w:asciiTheme="majorHAnsi" w:hAnsiTheme="majorHAnsi" w:cstheme="majorHAnsi"/>
                <w:noProof/>
              </w:rPr>
              <w:t>3.5.1</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Desequilibrios de las relaciones comerciales.</w:t>
            </w:r>
            <w:r w:rsidR="00201DBF">
              <w:rPr>
                <w:noProof/>
                <w:webHidden/>
              </w:rPr>
              <w:tab/>
            </w:r>
            <w:r w:rsidR="00201DBF">
              <w:rPr>
                <w:noProof/>
                <w:webHidden/>
              </w:rPr>
              <w:fldChar w:fldCharType="begin"/>
            </w:r>
            <w:r w:rsidR="00201DBF">
              <w:rPr>
                <w:noProof/>
                <w:webHidden/>
              </w:rPr>
              <w:instrText xml:space="preserve"> PAGEREF _Toc14695490 \h </w:instrText>
            </w:r>
            <w:r w:rsidR="00201DBF">
              <w:rPr>
                <w:noProof/>
                <w:webHidden/>
              </w:rPr>
            </w:r>
            <w:r w:rsidR="00201DBF">
              <w:rPr>
                <w:noProof/>
                <w:webHidden/>
              </w:rPr>
              <w:fldChar w:fldCharType="separate"/>
            </w:r>
            <w:r w:rsidR="00201DBF">
              <w:rPr>
                <w:noProof/>
                <w:webHidden/>
              </w:rPr>
              <w:t>39</w:t>
            </w:r>
            <w:r w:rsidR="00201DBF">
              <w:rPr>
                <w:noProof/>
                <w:webHidden/>
              </w:rPr>
              <w:fldChar w:fldCharType="end"/>
            </w:r>
          </w:hyperlink>
        </w:p>
        <w:p w14:paraId="6F0E2483"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1" w:history="1">
            <w:r w:rsidR="00201DBF" w:rsidRPr="00657C4E">
              <w:rPr>
                <w:rStyle w:val="Hipervnculo"/>
                <w:rFonts w:asciiTheme="majorHAnsi" w:hAnsiTheme="majorHAnsi" w:cstheme="majorHAnsi"/>
                <w:noProof/>
              </w:rPr>
              <w:t>3.6</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Instrumentos de mejora del equilibrio de la cadena y de protección al sector productor</w:t>
            </w:r>
            <w:r w:rsidR="00201DBF">
              <w:rPr>
                <w:noProof/>
                <w:webHidden/>
              </w:rPr>
              <w:tab/>
            </w:r>
            <w:r w:rsidR="00201DBF">
              <w:rPr>
                <w:noProof/>
                <w:webHidden/>
              </w:rPr>
              <w:fldChar w:fldCharType="begin"/>
            </w:r>
            <w:r w:rsidR="00201DBF">
              <w:rPr>
                <w:noProof/>
                <w:webHidden/>
              </w:rPr>
              <w:instrText xml:space="preserve"> PAGEREF _Toc14695491 \h </w:instrText>
            </w:r>
            <w:r w:rsidR="00201DBF">
              <w:rPr>
                <w:noProof/>
                <w:webHidden/>
              </w:rPr>
            </w:r>
            <w:r w:rsidR="00201DBF">
              <w:rPr>
                <w:noProof/>
                <w:webHidden/>
              </w:rPr>
              <w:fldChar w:fldCharType="separate"/>
            </w:r>
            <w:r w:rsidR="00201DBF">
              <w:rPr>
                <w:noProof/>
                <w:webHidden/>
              </w:rPr>
              <w:t>40</w:t>
            </w:r>
            <w:r w:rsidR="00201DBF">
              <w:rPr>
                <w:noProof/>
                <w:webHidden/>
              </w:rPr>
              <w:fldChar w:fldCharType="end"/>
            </w:r>
          </w:hyperlink>
        </w:p>
        <w:p w14:paraId="0C9BA550"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2" w:history="1">
            <w:r w:rsidR="00201DBF" w:rsidRPr="00657C4E">
              <w:rPr>
                <w:rStyle w:val="Hipervnculo"/>
                <w:rFonts w:asciiTheme="majorHAnsi" w:hAnsiTheme="majorHAnsi" w:cstheme="majorHAnsi"/>
                <w:noProof/>
              </w:rPr>
              <w:t>3.6.1</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Instrumentos normativos:</w:t>
            </w:r>
            <w:r w:rsidR="00201DBF">
              <w:rPr>
                <w:noProof/>
                <w:webHidden/>
              </w:rPr>
              <w:tab/>
            </w:r>
            <w:r w:rsidR="00201DBF">
              <w:rPr>
                <w:noProof/>
                <w:webHidden/>
              </w:rPr>
              <w:fldChar w:fldCharType="begin"/>
            </w:r>
            <w:r w:rsidR="00201DBF">
              <w:rPr>
                <w:noProof/>
                <w:webHidden/>
              </w:rPr>
              <w:instrText xml:space="preserve"> PAGEREF _Toc14695492 \h </w:instrText>
            </w:r>
            <w:r w:rsidR="00201DBF">
              <w:rPr>
                <w:noProof/>
                <w:webHidden/>
              </w:rPr>
            </w:r>
            <w:r w:rsidR="00201DBF">
              <w:rPr>
                <w:noProof/>
                <w:webHidden/>
              </w:rPr>
              <w:fldChar w:fldCharType="separate"/>
            </w:r>
            <w:r w:rsidR="00201DBF">
              <w:rPr>
                <w:noProof/>
                <w:webHidden/>
              </w:rPr>
              <w:t>40</w:t>
            </w:r>
            <w:r w:rsidR="00201DBF">
              <w:rPr>
                <w:noProof/>
                <w:webHidden/>
              </w:rPr>
              <w:fldChar w:fldCharType="end"/>
            </w:r>
          </w:hyperlink>
        </w:p>
        <w:p w14:paraId="4A219AF2"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93" w:history="1">
            <w:r w:rsidR="00201DBF" w:rsidRPr="00657C4E">
              <w:rPr>
                <w:rStyle w:val="Hipervnculo"/>
                <w:rFonts w:asciiTheme="majorHAnsi" w:hAnsiTheme="majorHAnsi" w:cstheme="majorHAnsi"/>
                <w:noProof/>
              </w:rPr>
              <w:t xml:space="preserve">- Directiva de Prácticas Desleales: </w:t>
            </w:r>
            <w:r w:rsidR="00201DBF" w:rsidRPr="00657C4E">
              <w:rPr>
                <w:rStyle w:val="Hipervnculo"/>
                <w:rFonts w:asciiTheme="majorHAnsi" w:eastAsiaTheme="minorHAnsi" w:hAnsiTheme="majorHAnsi" w:cstheme="majorHAnsi"/>
                <w:noProof/>
                <w:lang w:val="es-ES" w:eastAsia="en-US"/>
              </w:rPr>
              <w:t>Fortalecer las sinergias entre cadenas de valor y Fortalecimiento de la posición de los productores</w:t>
            </w:r>
            <w:r w:rsidR="00201DBF">
              <w:rPr>
                <w:noProof/>
                <w:webHidden/>
              </w:rPr>
              <w:tab/>
            </w:r>
            <w:r w:rsidR="00201DBF">
              <w:rPr>
                <w:noProof/>
                <w:webHidden/>
              </w:rPr>
              <w:fldChar w:fldCharType="begin"/>
            </w:r>
            <w:r w:rsidR="00201DBF">
              <w:rPr>
                <w:noProof/>
                <w:webHidden/>
              </w:rPr>
              <w:instrText xml:space="preserve"> PAGEREF _Toc14695493 \h </w:instrText>
            </w:r>
            <w:r w:rsidR="00201DBF">
              <w:rPr>
                <w:noProof/>
                <w:webHidden/>
              </w:rPr>
            </w:r>
            <w:r w:rsidR="00201DBF">
              <w:rPr>
                <w:noProof/>
                <w:webHidden/>
              </w:rPr>
              <w:fldChar w:fldCharType="separate"/>
            </w:r>
            <w:r w:rsidR="00201DBF">
              <w:rPr>
                <w:noProof/>
                <w:webHidden/>
              </w:rPr>
              <w:t>40</w:t>
            </w:r>
            <w:r w:rsidR="00201DBF">
              <w:rPr>
                <w:noProof/>
                <w:webHidden/>
              </w:rPr>
              <w:fldChar w:fldCharType="end"/>
            </w:r>
          </w:hyperlink>
        </w:p>
        <w:p w14:paraId="06420830"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4" w:history="1">
            <w:r w:rsidR="00201DBF" w:rsidRPr="00657C4E">
              <w:rPr>
                <w:rStyle w:val="Hipervnculo"/>
                <w:rFonts w:asciiTheme="majorHAnsi" w:eastAsiaTheme="minorHAnsi" w:hAnsiTheme="majorHAnsi" w:cstheme="majorHAnsi"/>
                <w:noProof/>
                <w:lang w:val="es-ES" w:eastAsia="en-US"/>
              </w:rPr>
              <w:t>3.6.2</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 xml:space="preserve">Instrumentos organizativos: </w:t>
            </w:r>
            <w:r w:rsidR="00201DBF" w:rsidRPr="00657C4E">
              <w:rPr>
                <w:rStyle w:val="Hipervnculo"/>
                <w:rFonts w:asciiTheme="majorHAnsi" w:eastAsiaTheme="minorHAnsi" w:hAnsiTheme="majorHAnsi" w:cstheme="majorHAnsi"/>
                <w:noProof/>
                <w:lang w:val="es-ES" w:eastAsia="en-US"/>
              </w:rPr>
              <w:t>Fortalecer la cooperación entre agricultores</w:t>
            </w:r>
            <w:r w:rsidR="00201DBF">
              <w:rPr>
                <w:noProof/>
                <w:webHidden/>
              </w:rPr>
              <w:tab/>
            </w:r>
            <w:r w:rsidR="00201DBF">
              <w:rPr>
                <w:noProof/>
                <w:webHidden/>
              </w:rPr>
              <w:fldChar w:fldCharType="begin"/>
            </w:r>
            <w:r w:rsidR="00201DBF">
              <w:rPr>
                <w:noProof/>
                <w:webHidden/>
              </w:rPr>
              <w:instrText xml:space="preserve"> PAGEREF _Toc14695494 \h </w:instrText>
            </w:r>
            <w:r w:rsidR="00201DBF">
              <w:rPr>
                <w:noProof/>
                <w:webHidden/>
              </w:rPr>
            </w:r>
            <w:r w:rsidR="00201DBF">
              <w:rPr>
                <w:noProof/>
                <w:webHidden/>
              </w:rPr>
              <w:fldChar w:fldCharType="separate"/>
            </w:r>
            <w:r w:rsidR="00201DBF">
              <w:rPr>
                <w:noProof/>
                <w:webHidden/>
              </w:rPr>
              <w:t>49</w:t>
            </w:r>
            <w:r w:rsidR="00201DBF">
              <w:rPr>
                <w:noProof/>
                <w:webHidden/>
              </w:rPr>
              <w:fldChar w:fldCharType="end"/>
            </w:r>
          </w:hyperlink>
        </w:p>
        <w:p w14:paraId="2E40DDD9"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95" w:history="1">
            <w:r w:rsidR="00201DBF" w:rsidRPr="00657C4E">
              <w:rPr>
                <w:rStyle w:val="Hipervnculo"/>
                <w:rFonts w:asciiTheme="majorHAnsi" w:eastAsiaTheme="minorHAnsi" w:hAnsiTheme="majorHAnsi" w:cstheme="majorHAnsi"/>
                <w:noProof/>
                <w:lang w:val="es-ES" w:eastAsia="en-US"/>
              </w:rPr>
              <w:t>- Innovación organizativa: Plan de  Digitalización,  Facilitar el acceso a la financiación (Grupo BEI) (Desarrollo Rural)</w:t>
            </w:r>
            <w:r w:rsidR="00201DBF">
              <w:rPr>
                <w:noProof/>
                <w:webHidden/>
              </w:rPr>
              <w:tab/>
            </w:r>
            <w:r w:rsidR="00201DBF">
              <w:rPr>
                <w:noProof/>
                <w:webHidden/>
              </w:rPr>
              <w:fldChar w:fldCharType="begin"/>
            </w:r>
            <w:r w:rsidR="00201DBF">
              <w:rPr>
                <w:noProof/>
                <w:webHidden/>
              </w:rPr>
              <w:instrText xml:space="preserve"> PAGEREF _Toc14695495 \h </w:instrText>
            </w:r>
            <w:r w:rsidR="00201DBF">
              <w:rPr>
                <w:noProof/>
                <w:webHidden/>
              </w:rPr>
            </w:r>
            <w:r w:rsidR="00201DBF">
              <w:rPr>
                <w:noProof/>
                <w:webHidden/>
              </w:rPr>
              <w:fldChar w:fldCharType="separate"/>
            </w:r>
            <w:r w:rsidR="00201DBF">
              <w:rPr>
                <w:noProof/>
                <w:webHidden/>
              </w:rPr>
              <w:t>49</w:t>
            </w:r>
            <w:r w:rsidR="00201DBF">
              <w:rPr>
                <w:noProof/>
                <w:webHidden/>
              </w:rPr>
              <w:fldChar w:fldCharType="end"/>
            </w:r>
          </w:hyperlink>
        </w:p>
        <w:p w14:paraId="098BA175"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96" w:history="1">
            <w:r w:rsidR="00201DBF" w:rsidRPr="00657C4E">
              <w:rPr>
                <w:rStyle w:val="Hipervnculo"/>
                <w:rFonts w:asciiTheme="majorHAnsi" w:eastAsiaTheme="minorHAnsi" w:hAnsiTheme="majorHAnsi" w:cstheme="majorHAnsi"/>
                <w:noProof/>
                <w:lang w:val="es-ES" w:eastAsia="en-US"/>
              </w:rPr>
              <w:t>- Fortalecimiento de asociaciones verticales y horizontales:</w:t>
            </w:r>
            <w:r w:rsidR="00201DBF" w:rsidRPr="00657C4E">
              <w:rPr>
                <w:rStyle w:val="Hipervnculo"/>
                <w:rFonts w:asciiTheme="majorHAnsi" w:hAnsiTheme="majorHAnsi" w:cstheme="majorHAnsi"/>
                <w:noProof/>
              </w:rPr>
              <w:t xml:space="preserve"> </w:t>
            </w:r>
            <w:r w:rsidR="00201DBF" w:rsidRPr="00657C4E">
              <w:rPr>
                <w:rStyle w:val="Hipervnculo"/>
                <w:rFonts w:asciiTheme="majorHAnsi" w:eastAsiaTheme="minorHAnsi" w:hAnsiTheme="majorHAnsi" w:cstheme="majorHAnsi"/>
                <w:noProof/>
                <w:lang w:val="es-ES" w:eastAsia="en-US"/>
              </w:rPr>
              <w:t>Interprofesionales,  Cooperativas/EAPs, OPs</w:t>
            </w:r>
            <w:r w:rsidR="00201DBF">
              <w:rPr>
                <w:noProof/>
                <w:webHidden/>
              </w:rPr>
              <w:tab/>
            </w:r>
            <w:r w:rsidR="00201DBF">
              <w:rPr>
                <w:noProof/>
                <w:webHidden/>
              </w:rPr>
              <w:fldChar w:fldCharType="begin"/>
            </w:r>
            <w:r w:rsidR="00201DBF">
              <w:rPr>
                <w:noProof/>
                <w:webHidden/>
              </w:rPr>
              <w:instrText xml:space="preserve"> PAGEREF _Toc14695496 \h </w:instrText>
            </w:r>
            <w:r w:rsidR="00201DBF">
              <w:rPr>
                <w:noProof/>
                <w:webHidden/>
              </w:rPr>
            </w:r>
            <w:r w:rsidR="00201DBF">
              <w:rPr>
                <w:noProof/>
                <w:webHidden/>
              </w:rPr>
              <w:fldChar w:fldCharType="separate"/>
            </w:r>
            <w:r w:rsidR="00201DBF">
              <w:rPr>
                <w:noProof/>
                <w:webHidden/>
              </w:rPr>
              <w:t>50</w:t>
            </w:r>
            <w:r w:rsidR="00201DBF">
              <w:rPr>
                <w:noProof/>
                <w:webHidden/>
              </w:rPr>
              <w:fldChar w:fldCharType="end"/>
            </w:r>
          </w:hyperlink>
        </w:p>
        <w:p w14:paraId="4CBDADE4"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7" w:history="1">
            <w:r w:rsidR="00201DBF" w:rsidRPr="00657C4E">
              <w:rPr>
                <w:rStyle w:val="Hipervnculo"/>
                <w:rFonts w:asciiTheme="majorHAnsi" w:hAnsiTheme="majorHAnsi" w:cstheme="majorHAnsi"/>
                <w:noProof/>
              </w:rPr>
              <w:t>3.6.3</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Instrumentos de información y transparencia</w:t>
            </w:r>
            <w:r w:rsidR="00201DBF">
              <w:rPr>
                <w:noProof/>
                <w:webHidden/>
              </w:rPr>
              <w:tab/>
            </w:r>
            <w:r w:rsidR="00201DBF">
              <w:rPr>
                <w:noProof/>
                <w:webHidden/>
              </w:rPr>
              <w:fldChar w:fldCharType="begin"/>
            </w:r>
            <w:r w:rsidR="00201DBF">
              <w:rPr>
                <w:noProof/>
                <w:webHidden/>
              </w:rPr>
              <w:instrText xml:space="preserve"> PAGEREF _Toc14695497 \h </w:instrText>
            </w:r>
            <w:r w:rsidR="00201DBF">
              <w:rPr>
                <w:noProof/>
                <w:webHidden/>
              </w:rPr>
            </w:r>
            <w:r w:rsidR="00201DBF">
              <w:rPr>
                <w:noProof/>
                <w:webHidden/>
              </w:rPr>
              <w:fldChar w:fldCharType="separate"/>
            </w:r>
            <w:r w:rsidR="00201DBF">
              <w:rPr>
                <w:noProof/>
                <w:webHidden/>
              </w:rPr>
              <w:t>51</w:t>
            </w:r>
            <w:r w:rsidR="00201DBF">
              <w:rPr>
                <w:noProof/>
                <w:webHidden/>
              </w:rPr>
              <w:fldChar w:fldCharType="end"/>
            </w:r>
          </w:hyperlink>
        </w:p>
        <w:p w14:paraId="23C4D9FF"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498" w:history="1">
            <w:r w:rsidR="00201DBF" w:rsidRPr="00657C4E">
              <w:rPr>
                <w:rStyle w:val="Hipervnculo"/>
                <w:rFonts w:asciiTheme="majorHAnsi" w:hAnsiTheme="majorHAnsi" w:cstheme="majorHAnsi"/>
                <w:noProof/>
              </w:rPr>
              <w:t>3.6.4</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Nuevas formas de comercialización</w:t>
            </w:r>
            <w:r w:rsidR="00201DBF">
              <w:rPr>
                <w:noProof/>
                <w:webHidden/>
              </w:rPr>
              <w:tab/>
            </w:r>
            <w:r w:rsidR="00201DBF">
              <w:rPr>
                <w:noProof/>
                <w:webHidden/>
              </w:rPr>
              <w:fldChar w:fldCharType="begin"/>
            </w:r>
            <w:r w:rsidR="00201DBF">
              <w:rPr>
                <w:noProof/>
                <w:webHidden/>
              </w:rPr>
              <w:instrText xml:space="preserve"> PAGEREF _Toc14695498 \h </w:instrText>
            </w:r>
            <w:r w:rsidR="00201DBF">
              <w:rPr>
                <w:noProof/>
                <w:webHidden/>
              </w:rPr>
            </w:r>
            <w:r w:rsidR="00201DBF">
              <w:rPr>
                <w:noProof/>
                <w:webHidden/>
              </w:rPr>
              <w:fldChar w:fldCharType="separate"/>
            </w:r>
            <w:r w:rsidR="00201DBF">
              <w:rPr>
                <w:noProof/>
                <w:webHidden/>
              </w:rPr>
              <w:t>56</w:t>
            </w:r>
            <w:r w:rsidR="00201DBF">
              <w:rPr>
                <w:noProof/>
                <w:webHidden/>
              </w:rPr>
              <w:fldChar w:fldCharType="end"/>
            </w:r>
          </w:hyperlink>
        </w:p>
        <w:p w14:paraId="51EBE121"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499" w:history="1">
            <w:r w:rsidR="00201DBF" w:rsidRPr="00657C4E">
              <w:rPr>
                <w:rStyle w:val="Hipervnculo"/>
                <w:rFonts w:asciiTheme="majorHAnsi" w:hAnsiTheme="majorHAnsi" w:cstheme="majorHAnsi"/>
                <w:noProof/>
              </w:rPr>
              <w:t xml:space="preserve">- </w:t>
            </w:r>
            <w:r w:rsidR="00201DBF" w:rsidRPr="00657C4E">
              <w:rPr>
                <w:rStyle w:val="Hipervnculo"/>
                <w:rFonts w:asciiTheme="majorHAnsi" w:eastAsiaTheme="minorHAnsi" w:hAnsiTheme="majorHAnsi" w:cstheme="majorHAnsi"/>
                <w:noProof/>
                <w:lang w:val="es-ES" w:eastAsia="en-US"/>
              </w:rPr>
              <w:t>Fomento de la producción local-canales cortos de comercialización</w:t>
            </w:r>
            <w:r w:rsidR="00201DBF">
              <w:rPr>
                <w:noProof/>
                <w:webHidden/>
              </w:rPr>
              <w:tab/>
            </w:r>
            <w:r w:rsidR="00201DBF">
              <w:rPr>
                <w:noProof/>
                <w:webHidden/>
              </w:rPr>
              <w:fldChar w:fldCharType="begin"/>
            </w:r>
            <w:r w:rsidR="00201DBF">
              <w:rPr>
                <w:noProof/>
                <w:webHidden/>
              </w:rPr>
              <w:instrText xml:space="preserve"> PAGEREF _Toc14695499 \h </w:instrText>
            </w:r>
            <w:r w:rsidR="00201DBF">
              <w:rPr>
                <w:noProof/>
                <w:webHidden/>
              </w:rPr>
            </w:r>
            <w:r w:rsidR="00201DBF">
              <w:rPr>
                <w:noProof/>
                <w:webHidden/>
              </w:rPr>
              <w:fldChar w:fldCharType="separate"/>
            </w:r>
            <w:r w:rsidR="00201DBF">
              <w:rPr>
                <w:noProof/>
                <w:webHidden/>
              </w:rPr>
              <w:t>56</w:t>
            </w:r>
            <w:r w:rsidR="00201DBF">
              <w:rPr>
                <w:noProof/>
                <w:webHidden/>
              </w:rPr>
              <w:fldChar w:fldCharType="end"/>
            </w:r>
          </w:hyperlink>
        </w:p>
        <w:p w14:paraId="6128927E"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500" w:history="1">
            <w:r w:rsidR="00201DBF" w:rsidRPr="00657C4E">
              <w:rPr>
                <w:rStyle w:val="Hipervnculo"/>
                <w:rFonts w:asciiTheme="majorHAnsi" w:eastAsiaTheme="minorHAnsi" w:hAnsiTheme="majorHAnsi" w:cstheme="majorHAnsi"/>
                <w:noProof/>
                <w:lang w:val="es-ES" w:eastAsia="en-US"/>
              </w:rPr>
              <w:t>- Negociaciones colectivas de reparto de valor en la cadena entre los operadores.</w:t>
            </w:r>
            <w:r w:rsidR="00201DBF">
              <w:rPr>
                <w:noProof/>
                <w:webHidden/>
              </w:rPr>
              <w:tab/>
            </w:r>
            <w:r w:rsidR="00201DBF">
              <w:rPr>
                <w:noProof/>
                <w:webHidden/>
              </w:rPr>
              <w:fldChar w:fldCharType="begin"/>
            </w:r>
            <w:r w:rsidR="00201DBF">
              <w:rPr>
                <w:noProof/>
                <w:webHidden/>
              </w:rPr>
              <w:instrText xml:space="preserve"> PAGEREF _Toc14695500 \h </w:instrText>
            </w:r>
            <w:r w:rsidR="00201DBF">
              <w:rPr>
                <w:noProof/>
                <w:webHidden/>
              </w:rPr>
            </w:r>
            <w:r w:rsidR="00201DBF">
              <w:rPr>
                <w:noProof/>
                <w:webHidden/>
              </w:rPr>
              <w:fldChar w:fldCharType="separate"/>
            </w:r>
            <w:r w:rsidR="00201DBF">
              <w:rPr>
                <w:noProof/>
                <w:webHidden/>
              </w:rPr>
              <w:t>57</w:t>
            </w:r>
            <w:r w:rsidR="00201DBF">
              <w:rPr>
                <w:noProof/>
                <w:webHidden/>
              </w:rPr>
              <w:fldChar w:fldCharType="end"/>
            </w:r>
          </w:hyperlink>
        </w:p>
        <w:p w14:paraId="6C88CE01" w14:textId="77777777" w:rsidR="00201DBF" w:rsidRDefault="00BC04DA">
          <w:pPr>
            <w:pStyle w:val="TDC2"/>
            <w:tabs>
              <w:tab w:val="right" w:leader="dot" w:pos="8494"/>
            </w:tabs>
            <w:rPr>
              <w:rFonts w:asciiTheme="minorHAnsi" w:eastAsiaTheme="minorEastAsia" w:hAnsiTheme="minorHAnsi" w:cstheme="minorBidi"/>
              <w:noProof/>
              <w:sz w:val="22"/>
              <w:szCs w:val="22"/>
              <w:lang w:val="es-ES"/>
            </w:rPr>
          </w:pPr>
          <w:hyperlink w:anchor="_Toc14695501" w:history="1">
            <w:r w:rsidR="00201DBF" w:rsidRPr="00657C4E">
              <w:rPr>
                <w:rStyle w:val="Hipervnculo"/>
                <w:rFonts w:asciiTheme="majorHAnsi" w:eastAsiaTheme="minorHAnsi" w:hAnsiTheme="majorHAnsi" w:cstheme="majorHAnsi"/>
                <w:noProof/>
                <w:lang w:val="es-ES" w:eastAsia="en-US"/>
              </w:rPr>
              <w:t>- Diversidad y Calidad de los productos; Fortalecimiento de las figuras de calidad diferencia y control del fraude.</w:t>
            </w:r>
            <w:r w:rsidR="00201DBF">
              <w:rPr>
                <w:noProof/>
                <w:webHidden/>
              </w:rPr>
              <w:tab/>
            </w:r>
            <w:r w:rsidR="00201DBF">
              <w:rPr>
                <w:noProof/>
                <w:webHidden/>
              </w:rPr>
              <w:fldChar w:fldCharType="begin"/>
            </w:r>
            <w:r w:rsidR="00201DBF">
              <w:rPr>
                <w:noProof/>
                <w:webHidden/>
              </w:rPr>
              <w:instrText xml:space="preserve"> PAGEREF _Toc14695501 \h </w:instrText>
            </w:r>
            <w:r w:rsidR="00201DBF">
              <w:rPr>
                <w:noProof/>
                <w:webHidden/>
              </w:rPr>
            </w:r>
            <w:r w:rsidR="00201DBF">
              <w:rPr>
                <w:noProof/>
                <w:webHidden/>
              </w:rPr>
              <w:fldChar w:fldCharType="separate"/>
            </w:r>
            <w:r w:rsidR="00201DBF">
              <w:rPr>
                <w:noProof/>
                <w:webHidden/>
              </w:rPr>
              <w:t>59</w:t>
            </w:r>
            <w:r w:rsidR="00201DBF">
              <w:rPr>
                <w:noProof/>
                <w:webHidden/>
              </w:rPr>
              <w:fldChar w:fldCharType="end"/>
            </w:r>
          </w:hyperlink>
        </w:p>
        <w:p w14:paraId="5753DB39" w14:textId="77777777" w:rsidR="00201DBF" w:rsidRDefault="00BC04DA">
          <w:pPr>
            <w:pStyle w:val="TDC2"/>
            <w:tabs>
              <w:tab w:val="left" w:pos="660"/>
              <w:tab w:val="right" w:leader="dot" w:pos="8494"/>
            </w:tabs>
            <w:rPr>
              <w:rFonts w:asciiTheme="minorHAnsi" w:eastAsiaTheme="minorEastAsia" w:hAnsiTheme="minorHAnsi" w:cstheme="minorBidi"/>
              <w:noProof/>
              <w:sz w:val="22"/>
              <w:szCs w:val="22"/>
              <w:lang w:val="es-ES"/>
            </w:rPr>
          </w:pPr>
          <w:hyperlink w:anchor="_Toc14695502" w:history="1">
            <w:r w:rsidR="00201DBF" w:rsidRPr="00657C4E">
              <w:rPr>
                <w:rStyle w:val="Hipervnculo"/>
                <w:rFonts w:ascii="Calibri Light" w:hAnsi="Calibri Light" w:cs="Calibri Light"/>
                <w:noProof/>
                <w:lang w:val="es-ES" w:eastAsia="en-US"/>
              </w:rPr>
              <w:t>-</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eastAsiaTheme="minorHAnsi" w:hAnsiTheme="majorHAnsi" w:cstheme="majorHAnsi"/>
                <w:noProof/>
                <w:lang w:val="es-ES" w:eastAsia="en-US"/>
              </w:rPr>
              <w:t>Producción Ecológica</w:t>
            </w:r>
            <w:r w:rsidR="00201DBF">
              <w:rPr>
                <w:noProof/>
                <w:webHidden/>
              </w:rPr>
              <w:tab/>
            </w:r>
            <w:r w:rsidR="00201DBF">
              <w:rPr>
                <w:noProof/>
                <w:webHidden/>
              </w:rPr>
              <w:fldChar w:fldCharType="begin"/>
            </w:r>
            <w:r w:rsidR="00201DBF">
              <w:rPr>
                <w:noProof/>
                <w:webHidden/>
              </w:rPr>
              <w:instrText xml:space="preserve"> PAGEREF _Toc14695502 \h </w:instrText>
            </w:r>
            <w:r w:rsidR="00201DBF">
              <w:rPr>
                <w:noProof/>
                <w:webHidden/>
              </w:rPr>
            </w:r>
            <w:r w:rsidR="00201DBF">
              <w:rPr>
                <w:noProof/>
                <w:webHidden/>
              </w:rPr>
              <w:fldChar w:fldCharType="separate"/>
            </w:r>
            <w:r w:rsidR="00201DBF">
              <w:rPr>
                <w:noProof/>
                <w:webHidden/>
              </w:rPr>
              <w:t>61</w:t>
            </w:r>
            <w:r w:rsidR="00201DBF">
              <w:rPr>
                <w:noProof/>
                <w:webHidden/>
              </w:rPr>
              <w:fldChar w:fldCharType="end"/>
            </w:r>
          </w:hyperlink>
        </w:p>
        <w:p w14:paraId="470DF20C" w14:textId="77777777" w:rsidR="00201DBF" w:rsidRDefault="00BC04DA">
          <w:pPr>
            <w:pStyle w:val="TDC2"/>
            <w:tabs>
              <w:tab w:val="left" w:pos="880"/>
              <w:tab w:val="right" w:leader="dot" w:pos="8494"/>
            </w:tabs>
            <w:rPr>
              <w:rFonts w:asciiTheme="minorHAnsi" w:eastAsiaTheme="minorEastAsia" w:hAnsiTheme="minorHAnsi" w:cstheme="minorBidi"/>
              <w:noProof/>
              <w:sz w:val="22"/>
              <w:szCs w:val="22"/>
              <w:lang w:val="es-ES"/>
            </w:rPr>
          </w:pPr>
          <w:hyperlink w:anchor="_Toc14695503" w:history="1">
            <w:r w:rsidR="00201DBF" w:rsidRPr="00657C4E">
              <w:rPr>
                <w:rStyle w:val="Hipervnculo"/>
                <w:rFonts w:asciiTheme="majorHAnsi" w:hAnsiTheme="majorHAnsi" w:cstheme="majorHAnsi"/>
                <w:noProof/>
              </w:rPr>
              <w:t>3.6.5</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Análisis de herramientas y comportamientos en otros países</w:t>
            </w:r>
            <w:r w:rsidR="00201DBF">
              <w:rPr>
                <w:noProof/>
                <w:webHidden/>
              </w:rPr>
              <w:tab/>
            </w:r>
            <w:r w:rsidR="00201DBF">
              <w:rPr>
                <w:noProof/>
                <w:webHidden/>
              </w:rPr>
              <w:fldChar w:fldCharType="begin"/>
            </w:r>
            <w:r w:rsidR="00201DBF">
              <w:rPr>
                <w:noProof/>
                <w:webHidden/>
              </w:rPr>
              <w:instrText xml:space="preserve"> PAGEREF _Toc14695503 \h </w:instrText>
            </w:r>
            <w:r w:rsidR="00201DBF">
              <w:rPr>
                <w:noProof/>
                <w:webHidden/>
              </w:rPr>
            </w:r>
            <w:r w:rsidR="00201DBF">
              <w:rPr>
                <w:noProof/>
                <w:webHidden/>
              </w:rPr>
              <w:fldChar w:fldCharType="separate"/>
            </w:r>
            <w:r w:rsidR="00201DBF">
              <w:rPr>
                <w:noProof/>
                <w:webHidden/>
              </w:rPr>
              <w:t>62</w:t>
            </w:r>
            <w:r w:rsidR="00201DBF">
              <w:rPr>
                <w:noProof/>
                <w:webHidden/>
              </w:rPr>
              <w:fldChar w:fldCharType="end"/>
            </w:r>
          </w:hyperlink>
        </w:p>
        <w:p w14:paraId="7D0B961D" w14:textId="77777777" w:rsidR="00201DBF" w:rsidRDefault="00BC04DA">
          <w:pPr>
            <w:pStyle w:val="TDC1"/>
            <w:tabs>
              <w:tab w:val="left" w:pos="400"/>
              <w:tab w:val="right" w:leader="dot" w:pos="8494"/>
            </w:tabs>
            <w:rPr>
              <w:rFonts w:asciiTheme="minorHAnsi" w:eastAsiaTheme="minorEastAsia" w:hAnsiTheme="minorHAnsi" w:cstheme="minorBidi"/>
              <w:noProof/>
              <w:sz w:val="22"/>
              <w:szCs w:val="22"/>
              <w:lang w:val="es-ES"/>
            </w:rPr>
          </w:pPr>
          <w:hyperlink w:anchor="_Toc14695504" w:history="1">
            <w:r w:rsidR="00201DBF" w:rsidRPr="00657C4E">
              <w:rPr>
                <w:rStyle w:val="Hipervnculo"/>
                <w:rFonts w:asciiTheme="majorHAnsi" w:hAnsiTheme="majorHAnsi" w:cstheme="majorHAnsi"/>
                <w:noProof/>
              </w:rPr>
              <w:t>4.</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rPr>
              <w:t>Temáticas a debatir en relación con el objetivo 3</w:t>
            </w:r>
            <w:r w:rsidR="00201DBF">
              <w:rPr>
                <w:noProof/>
                <w:webHidden/>
              </w:rPr>
              <w:tab/>
            </w:r>
            <w:r w:rsidR="00201DBF">
              <w:rPr>
                <w:noProof/>
                <w:webHidden/>
              </w:rPr>
              <w:fldChar w:fldCharType="begin"/>
            </w:r>
            <w:r w:rsidR="00201DBF">
              <w:rPr>
                <w:noProof/>
                <w:webHidden/>
              </w:rPr>
              <w:instrText xml:space="preserve"> PAGEREF _Toc14695504 \h </w:instrText>
            </w:r>
            <w:r w:rsidR="00201DBF">
              <w:rPr>
                <w:noProof/>
                <w:webHidden/>
              </w:rPr>
            </w:r>
            <w:r w:rsidR="00201DBF">
              <w:rPr>
                <w:noProof/>
                <w:webHidden/>
              </w:rPr>
              <w:fldChar w:fldCharType="separate"/>
            </w:r>
            <w:r w:rsidR="00201DBF">
              <w:rPr>
                <w:noProof/>
                <w:webHidden/>
              </w:rPr>
              <w:t>68</w:t>
            </w:r>
            <w:r w:rsidR="00201DBF">
              <w:rPr>
                <w:noProof/>
                <w:webHidden/>
              </w:rPr>
              <w:fldChar w:fldCharType="end"/>
            </w:r>
          </w:hyperlink>
        </w:p>
        <w:p w14:paraId="408ADBFC" w14:textId="77777777" w:rsidR="00201DBF" w:rsidRDefault="00BC04DA">
          <w:pPr>
            <w:pStyle w:val="TDC1"/>
            <w:tabs>
              <w:tab w:val="left" w:pos="400"/>
              <w:tab w:val="right" w:leader="dot" w:pos="8494"/>
            </w:tabs>
            <w:rPr>
              <w:rFonts w:asciiTheme="minorHAnsi" w:eastAsiaTheme="minorEastAsia" w:hAnsiTheme="minorHAnsi" w:cstheme="minorBidi"/>
              <w:noProof/>
              <w:sz w:val="22"/>
              <w:szCs w:val="22"/>
              <w:lang w:val="es-ES"/>
            </w:rPr>
          </w:pPr>
          <w:hyperlink w:anchor="_Toc14695505" w:history="1">
            <w:r w:rsidR="00201DBF" w:rsidRPr="00657C4E">
              <w:rPr>
                <w:rStyle w:val="Hipervnculo"/>
                <w:rFonts w:asciiTheme="majorHAnsi" w:hAnsiTheme="majorHAnsi" w:cstheme="majorHAnsi"/>
                <w:i/>
                <w:noProof/>
                <w:lang w:val="es-ES"/>
              </w:rPr>
              <w:t>5.</w:t>
            </w:r>
            <w:r w:rsidR="00201DBF">
              <w:rPr>
                <w:rFonts w:asciiTheme="minorHAnsi" w:eastAsiaTheme="minorEastAsia" w:hAnsiTheme="minorHAnsi" w:cstheme="minorBidi"/>
                <w:noProof/>
                <w:sz w:val="22"/>
                <w:szCs w:val="22"/>
                <w:lang w:val="es-ES"/>
              </w:rPr>
              <w:tab/>
            </w:r>
            <w:r w:rsidR="00201DBF" w:rsidRPr="00657C4E">
              <w:rPr>
                <w:rStyle w:val="Hipervnculo"/>
                <w:rFonts w:asciiTheme="majorHAnsi" w:hAnsiTheme="majorHAnsi" w:cstheme="majorHAnsi"/>
                <w:noProof/>
                <w:lang w:val="es-ES"/>
              </w:rPr>
              <w:t>Coherencia con otras políticas y compromisos</w:t>
            </w:r>
            <w:r w:rsidR="00201DBF">
              <w:rPr>
                <w:noProof/>
                <w:webHidden/>
              </w:rPr>
              <w:tab/>
            </w:r>
            <w:r w:rsidR="00201DBF">
              <w:rPr>
                <w:noProof/>
                <w:webHidden/>
              </w:rPr>
              <w:fldChar w:fldCharType="begin"/>
            </w:r>
            <w:r w:rsidR="00201DBF">
              <w:rPr>
                <w:noProof/>
                <w:webHidden/>
              </w:rPr>
              <w:instrText xml:space="preserve"> PAGEREF _Toc14695505 \h </w:instrText>
            </w:r>
            <w:r w:rsidR="00201DBF">
              <w:rPr>
                <w:noProof/>
                <w:webHidden/>
              </w:rPr>
            </w:r>
            <w:r w:rsidR="00201DBF">
              <w:rPr>
                <w:noProof/>
                <w:webHidden/>
              </w:rPr>
              <w:fldChar w:fldCharType="separate"/>
            </w:r>
            <w:r w:rsidR="00201DBF">
              <w:rPr>
                <w:noProof/>
                <w:webHidden/>
              </w:rPr>
              <w:t>69</w:t>
            </w:r>
            <w:r w:rsidR="00201DBF">
              <w:rPr>
                <w:noProof/>
                <w:webHidden/>
              </w:rPr>
              <w:fldChar w:fldCharType="end"/>
            </w:r>
          </w:hyperlink>
        </w:p>
        <w:p w14:paraId="2A26195B" w14:textId="77777777" w:rsidR="00201DBF" w:rsidRDefault="00BC04DA">
          <w:pPr>
            <w:pStyle w:val="TDC1"/>
            <w:tabs>
              <w:tab w:val="right" w:leader="dot" w:pos="8494"/>
            </w:tabs>
            <w:rPr>
              <w:rFonts w:asciiTheme="minorHAnsi" w:eastAsiaTheme="minorEastAsia" w:hAnsiTheme="minorHAnsi" w:cstheme="minorBidi"/>
              <w:noProof/>
              <w:sz w:val="22"/>
              <w:szCs w:val="22"/>
              <w:lang w:val="es-ES"/>
            </w:rPr>
          </w:pPr>
          <w:hyperlink w:anchor="_Toc14695506" w:history="1">
            <w:r w:rsidR="00201DBF" w:rsidRPr="00657C4E">
              <w:rPr>
                <w:rStyle w:val="Hipervnculo"/>
                <w:rFonts w:asciiTheme="majorHAnsi" w:hAnsiTheme="majorHAnsi" w:cstheme="majorHAnsi"/>
                <w:noProof/>
              </w:rPr>
              <w:t>ANEXO 1: Inventario de la información disponible</w:t>
            </w:r>
            <w:r w:rsidR="00201DBF">
              <w:rPr>
                <w:noProof/>
                <w:webHidden/>
              </w:rPr>
              <w:tab/>
            </w:r>
            <w:r w:rsidR="00201DBF">
              <w:rPr>
                <w:noProof/>
                <w:webHidden/>
              </w:rPr>
              <w:fldChar w:fldCharType="begin"/>
            </w:r>
            <w:r w:rsidR="00201DBF">
              <w:rPr>
                <w:noProof/>
                <w:webHidden/>
              </w:rPr>
              <w:instrText xml:space="preserve"> PAGEREF _Toc14695506 \h </w:instrText>
            </w:r>
            <w:r w:rsidR="00201DBF">
              <w:rPr>
                <w:noProof/>
                <w:webHidden/>
              </w:rPr>
            </w:r>
            <w:r w:rsidR="00201DBF">
              <w:rPr>
                <w:noProof/>
                <w:webHidden/>
              </w:rPr>
              <w:fldChar w:fldCharType="separate"/>
            </w:r>
            <w:r w:rsidR="00201DBF">
              <w:rPr>
                <w:noProof/>
                <w:webHidden/>
              </w:rPr>
              <w:t>76</w:t>
            </w:r>
            <w:r w:rsidR="00201DBF">
              <w:rPr>
                <w:noProof/>
                <w:webHidden/>
              </w:rPr>
              <w:fldChar w:fldCharType="end"/>
            </w:r>
          </w:hyperlink>
        </w:p>
        <w:p w14:paraId="12A7847D" w14:textId="77777777" w:rsidR="00201DBF" w:rsidRDefault="00BC04DA">
          <w:pPr>
            <w:pStyle w:val="TDC1"/>
            <w:tabs>
              <w:tab w:val="right" w:leader="dot" w:pos="8494"/>
            </w:tabs>
            <w:rPr>
              <w:rFonts w:asciiTheme="minorHAnsi" w:eastAsiaTheme="minorEastAsia" w:hAnsiTheme="minorHAnsi" w:cstheme="minorBidi"/>
              <w:noProof/>
              <w:sz w:val="22"/>
              <w:szCs w:val="22"/>
              <w:lang w:val="es-ES"/>
            </w:rPr>
          </w:pPr>
          <w:hyperlink w:anchor="_Toc14695507" w:history="1">
            <w:r w:rsidR="00201DBF" w:rsidRPr="00657C4E">
              <w:rPr>
                <w:rStyle w:val="Hipervnculo"/>
                <w:rFonts w:asciiTheme="majorHAnsi" w:hAnsiTheme="majorHAnsi" w:cstheme="majorHAnsi"/>
                <w:noProof/>
              </w:rPr>
              <w:t>ANEXO 2: Indicadores para la medición del objetivo 3</w:t>
            </w:r>
            <w:r w:rsidR="00201DBF">
              <w:rPr>
                <w:noProof/>
                <w:webHidden/>
              </w:rPr>
              <w:tab/>
            </w:r>
            <w:r w:rsidR="00201DBF">
              <w:rPr>
                <w:noProof/>
                <w:webHidden/>
              </w:rPr>
              <w:fldChar w:fldCharType="begin"/>
            </w:r>
            <w:r w:rsidR="00201DBF">
              <w:rPr>
                <w:noProof/>
                <w:webHidden/>
              </w:rPr>
              <w:instrText xml:space="preserve"> PAGEREF _Toc14695507 \h </w:instrText>
            </w:r>
            <w:r w:rsidR="00201DBF">
              <w:rPr>
                <w:noProof/>
                <w:webHidden/>
              </w:rPr>
            </w:r>
            <w:r w:rsidR="00201DBF">
              <w:rPr>
                <w:noProof/>
                <w:webHidden/>
              </w:rPr>
              <w:fldChar w:fldCharType="separate"/>
            </w:r>
            <w:r w:rsidR="00201DBF">
              <w:rPr>
                <w:noProof/>
                <w:webHidden/>
              </w:rPr>
              <w:t>78</w:t>
            </w:r>
            <w:r w:rsidR="00201DBF">
              <w:rPr>
                <w:noProof/>
                <w:webHidden/>
              </w:rPr>
              <w:fldChar w:fldCharType="end"/>
            </w:r>
          </w:hyperlink>
        </w:p>
        <w:p w14:paraId="5D97F6CD" w14:textId="5E85AE44" w:rsidR="00117F28" w:rsidRPr="00F3311F" w:rsidRDefault="00117F28" w:rsidP="00D4710E">
          <w:pPr>
            <w:spacing w:line="276" w:lineRule="auto"/>
            <w:jc w:val="both"/>
            <w:rPr>
              <w:rFonts w:asciiTheme="majorHAnsi" w:hAnsiTheme="majorHAnsi" w:cstheme="majorHAnsi"/>
              <w:sz w:val="22"/>
            </w:rPr>
          </w:pPr>
          <w:r w:rsidRPr="00F3311F">
            <w:rPr>
              <w:rFonts w:asciiTheme="majorHAnsi" w:hAnsiTheme="majorHAnsi" w:cstheme="majorHAnsi"/>
              <w:b/>
              <w:bCs/>
              <w:sz w:val="22"/>
            </w:rPr>
            <w:fldChar w:fldCharType="end"/>
          </w:r>
        </w:p>
      </w:sdtContent>
    </w:sdt>
    <w:p w14:paraId="3650F2C2" w14:textId="77777777" w:rsidR="00117F28" w:rsidRPr="00F3311F" w:rsidRDefault="00117F28" w:rsidP="00D4710E">
      <w:pPr>
        <w:spacing w:line="276" w:lineRule="auto"/>
        <w:jc w:val="both"/>
        <w:rPr>
          <w:rFonts w:asciiTheme="majorHAnsi" w:eastAsiaTheme="minorHAnsi" w:hAnsiTheme="majorHAnsi" w:cstheme="majorHAnsi"/>
          <w:sz w:val="22"/>
        </w:rPr>
      </w:pPr>
    </w:p>
    <w:p w14:paraId="167C9785" w14:textId="26721664" w:rsidR="000A13D9" w:rsidRDefault="000A13D9">
      <w:pPr>
        <w:rPr>
          <w:rFonts w:asciiTheme="majorHAnsi" w:hAnsiTheme="majorHAnsi" w:cstheme="majorHAnsi"/>
          <w:szCs w:val="18"/>
        </w:rPr>
      </w:pPr>
      <w:r>
        <w:rPr>
          <w:rFonts w:asciiTheme="majorHAnsi" w:hAnsiTheme="majorHAnsi" w:cstheme="majorHAnsi"/>
          <w:szCs w:val="18"/>
        </w:rPr>
        <w:br w:type="page"/>
      </w:r>
    </w:p>
    <w:p w14:paraId="01D1D2BF" w14:textId="77777777" w:rsidR="00455514" w:rsidRPr="00F3311F" w:rsidRDefault="00455514" w:rsidP="00D4710E">
      <w:pPr>
        <w:spacing w:after="240" w:line="276" w:lineRule="auto"/>
        <w:jc w:val="both"/>
        <w:rPr>
          <w:rFonts w:asciiTheme="majorHAnsi" w:hAnsiTheme="majorHAnsi" w:cstheme="majorHAnsi"/>
          <w:szCs w:val="18"/>
        </w:rPr>
      </w:pPr>
    </w:p>
    <w:p w14:paraId="76E6FCC9" w14:textId="211305B8" w:rsidR="00455514" w:rsidRPr="00FC609C" w:rsidRDefault="007A2D41" w:rsidP="00D4710E">
      <w:pPr>
        <w:pStyle w:val="Ttulo1"/>
        <w:numPr>
          <w:ilvl w:val="0"/>
          <w:numId w:val="1"/>
        </w:numPr>
        <w:spacing w:line="276" w:lineRule="auto"/>
        <w:rPr>
          <w:rFonts w:asciiTheme="majorHAnsi" w:hAnsiTheme="majorHAnsi" w:cstheme="majorHAnsi"/>
          <w:sz w:val="22"/>
        </w:rPr>
      </w:pPr>
      <w:r w:rsidRPr="00FC609C">
        <w:rPr>
          <w:rFonts w:asciiTheme="majorHAnsi" w:hAnsiTheme="majorHAnsi" w:cstheme="majorHAnsi"/>
          <w:sz w:val="28"/>
        </w:rPr>
        <w:t xml:space="preserve"> </w:t>
      </w:r>
      <w:bookmarkStart w:id="56" w:name="_Toc14695463"/>
      <w:r w:rsidRPr="001A19E6">
        <w:rPr>
          <w:rFonts w:asciiTheme="majorHAnsi" w:hAnsiTheme="majorHAnsi" w:cstheme="majorHAnsi"/>
          <w:sz w:val="28"/>
        </w:rPr>
        <w:t>O</w:t>
      </w:r>
      <w:r w:rsidR="00DC6956" w:rsidRPr="001A19E6">
        <w:rPr>
          <w:rFonts w:asciiTheme="majorHAnsi" w:hAnsiTheme="majorHAnsi" w:cstheme="majorHAnsi"/>
          <w:sz w:val="28"/>
        </w:rPr>
        <w:t xml:space="preserve">bjetivo 3 de la </w:t>
      </w:r>
      <w:r w:rsidR="000A13D9">
        <w:rPr>
          <w:rFonts w:asciiTheme="majorHAnsi" w:hAnsiTheme="majorHAnsi" w:cstheme="majorHAnsi"/>
          <w:sz w:val="28"/>
        </w:rPr>
        <w:t>PAC</w:t>
      </w:r>
      <w:r w:rsidR="00DC6956" w:rsidRPr="001A19E6">
        <w:rPr>
          <w:rFonts w:asciiTheme="majorHAnsi" w:hAnsiTheme="majorHAnsi" w:cstheme="majorHAnsi"/>
          <w:sz w:val="28"/>
        </w:rPr>
        <w:t xml:space="preserve"> post 2020</w:t>
      </w:r>
      <w:r w:rsidRPr="001A19E6">
        <w:rPr>
          <w:rFonts w:asciiTheme="majorHAnsi" w:hAnsiTheme="majorHAnsi" w:cstheme="majorHAnsi"/>
          <w:sz w:val="28"/>
        </w:rPr>
        <w:t>: Descripción</w:t>
      </w:r>
      <w:bookmarkEnd w:id="56"/>
      <w:r w:rsidR="00FE60C9" w:rsidRPr="001A19E6">
        <w:rPr>
          <w:rFonts w:asciiTheme="majorHAnsi" w:hAnsiTheme="majorHAnsi" w:cstheme="majorHAnsi"/>
          <w:sz w:val="28"/>
        </w:rPr>
        <w:t xml:space="preserve"> </w:t>
      </w:r>
    </w:p>
    <w:p w14:paraId="081EB492" w14:textId="77777777" w:rsidR="000A13D9" w:rsidRDefault="000A13D9" w:rsidP="00D4710E">
      <w:pPr>
        <w:spacing w:line="276" w:lineRule="auto"/>
        <w:jc w:val="both"/>
        <w:rPr>
          <w:rFonts w:asciiTheme="majorHAnsi" w:hAnsiTheme="majorHAnsi" w:cstheme="majorHAnsi"/>
          <w:sz w:val="24"/>
        </w:rPr>
      </w:pPr>
    </w:p>
    <w:p w14:paraId="7AB8CB0E" w14:textId="26077BA2" w:rsidR="004823CE" w:rsidRDefault="004823CE" w:rsidP="00D4710E">
      <w:pPr>
        <w:spacing w:line="276" w:lineRule="auto"/>
        <w:jc w:val="both"/>
        <w:rPr>
          <w:rFonts w:asciiTheme="majorHAnsi" w:hAnsiTheme="majorHAnsi" w:cstheme="majorHAnsi"/>
          <w:sz w:val="24"/>
        </w:rPr>
      </w:pPr>
      <w:r w:rsidRPr="004823CE">
        <w:rPr>
          <w:rFonts w:asciiTheme="majorHAnsi" w:hAnsiTheme="majorHAnsi" w:cstheme="majorHAnsi"/>
          <w:sz w:val="24"/>
        </w:rPr>
        <w:t>El pasado 1 de junio</w:t>
      </w:r>
      <w:r>
        <w:rPr>
          <w:rFonts w:asciiTheme="majorHAnsi" w:hAnsiTheme="majorHAnsi" w:cstheme="majorHAnsi"/>
          <w:sz w:val="24"/>
        </w:rPr>
        <w:t xml:space="preserve"> de 2018</w:t>
      </w:r>
      <w:r w:rsidRPr="004823CE">
        <w:rPr>
          <w:rFonts w:asciiTheme="majorHAnsi" w:hAnsiTheme="majorHAnsi" w:cstheme="majorHAnsi"/>
          <w:sz w:val="24"/>
        </w:rPr>
        <w:t xml:space="preserve">, la Comisión Europea presentó las propuestas legislativas para la Reforma de la Política Agrícola Común (PAC) post 2020. Se </w:t>
      </w:r>
      <w:r w:rsidR="000A13D9">
        <w:rPr>
          <w:rFonts w:asciiTheme="majorHAnsi" w:hAnsiTheme="majorHAnsi" w:cstheme="majorHAnsi"/>
          <w:sz w:val="24"/>
        </w:rPr>
        <w:t>abrió</w:t>
      </w:r>
      <w:r w:rsidRPr="004823CE">
        <w:rPr>
          <w:rFonts w:asciiTheme="majorHAnsi" w:hAnsiTheme="majorHAnsi" w:cstheme="majorHAnsi"/>
          <w:sz w:val="24"/>
        </w:rPr>
        <w:t xml:space="preserve"> por tanto un periodo de negociaciones que culminará con la adopción de los textos legislativos que regularán la PAC para el periodo 2021-2027.</w:t>
      </w:r>
    </w:p>
    <w:p w14:paraId="71CF1B96" w14:textId="77777777" w:rsidR="000A13D9" w:rsidRDefault="000A13D9" w:rsidP="00D4710E">
      <w:pPr>
        <w:spacing w:line="276" w:lineRule="auto"/>
        <w:jc w:val="both"/>
        <w:rPr>
          <w:rFonts w:asciiTheme="majorHAnsi" w:hAnsiTheme="majorHAnsi" w:cstheme="majorHAnsi"/>
          <w:sz w:val="24"/>
        </w:rPr>
      </w:pPr>
    </w:p>
    <w:p w14:paraId="620328A7" w14:textId="2E3B89C7" w:rsidR="000A13D9" w:rsidRDefault="00801C1B" w:rsidP="00D4710E">
      <w:pPr>
        <w:spacing w:line="276" w:lineRule="auto"/>
        <w:jc w:val="both"/>
        <w:rPr>
          <w:rFonts w:asciiTheme="majorHAnsi" w:hAnsiTheme="majorHAnsi" w:cstheme="majorHAnsi"/>
          <w:sz w:val="24"/>
        </w:rPr>
      </w:pPr>
      <w:r w:rsidRPr="00801C1B">
        <w:rPr>
          <w:rFonts w:asciiTheme="majorHAnsi" w:hAnsiTheme="majorHAnsi" w:cstheme="majorHAnsi"/>
          <w:sz w:val="24"/>
        </w:rPr>
        <w:t xml:space="preserve">En el modelo de aplicación de la futura PAC, la Unión debe establecer los parámetros políticos básicos (objetivos de la PAC, tipos generales de intervención, requisitos básicos), al tiempo que los Estados miembros deben responsabilizase en mayor medida y ser más transparentes en cuanto a cómo cumplen los objetivos y logran las metas acordadas. </w:t>
      </w:r>
    </w:p>
    <w:p w14:paraId="3D215B7A" w14:textId="77777777" w:rsidR="000A13D9" w:rsidRDefault="00801C1B" w:rsidP="00D4710E">
      <w:pPr>
        <w:spacing w:line="276" w:lineRule="auto"/>
        <w:jc w:val="both"/>
        <w:rPr>
          <w:rFonts w:asciiTheme="majorHAnsi" w:hAnsiTheme="majorHAnsi" w:cstheme="majorHAnsi"/>
          <w:sz w:val="24"/>
        </w:rPr>
      </w:pPr>
      <w:r w:rsidRPr="00801C1B">
        <w:rPr>
          <w:rFonts w:asciiTheme="majorHAnsi" w:hAnsiTheme="majorHAnsi" w:cstheme="majorHAnsi"/>
          <w:sz w:val="24"/>
        </w:rPr>
        <w:t xml:space="preserve">Los objetivos de la PAC cumplirían las obligaciones del Tratado UE, pero también las metas y los objetivos ya acordados en materia, por ejemplo, de medio ambiente, cambio climático (COP 21) y una serie de ODS. </w:t>
      </w:r>
    </w:p>
    <w:p w14:paraId="1A7CF02C" w14:textId="77777777" w:rsidR="000A13D9" w:rsidRDefault="000A13D9" w:rsidP="00D4710E">
      <w:pPr>
        <w:spacing w:line="276" w:lineRule="auto"/>
        <w:jc w:val="both"/>
        <w:rPr>
          <w:rFonts w:asciiTheme="majorHAnsi" w:hAnsiTheme="majorHAnsi" w:cstheme="majorHAnsi"/>
          <w:sz w:val="24"/>
        </w:rPr>
      </w:pPr>
    </w:p>
    <w:p w14:paraId="461676AA" w14:textId="6D8C174E" w:rsidR="000A13D9" w:rsidRDefault="00801C1B" w:rsidP="00D4710E">
      <w:pPr>
        <w:spacing w:line="276" w:lineRule="auto"/>
        <w:jc w:val="both"/>
        <w:rPr>
          <w:rFonts w:asciiTheme="majorHAnsi" w:hAnsiTheme="majorHAnsi" w:cstheme="majorHAnsi"/>
          <w:sz w:val="24"/>
        </w:rPr>
      </w:pPr>
      <w:r w:rsidRPr="00801C1B">
        <w:rPr>
          <w:rFonts w:asciiTheme="majorHAnsi" w:hAnsiTheme="majorHAnsi" w:cstheme="majorHAnsi"/>
          <w:sz w:val="24"/>
        </w:rPr>
        <w:t>Para preparar los planes estratégicos de la PAC, los Estados miembros tendrán en consideración sus herramientas de planificación derivadas de las políticas y la legislación de la UE en mat</w:t>
      </w:r>
      <w:r>
        <w:rPr>
          <w:rFonts w:asciiTheme="majorHAnsi" w:hAnsiTheme="majorHAnsi" w:cstheme="majorHAnsi"/>
          <w:sz w:val="24"/>
        </w:rPr>
        <w:t>eria medioambiental y climática</w:t>
      </w:r>
      <w:r w:rsidRPr="00801C1B">
        <w:rPr>
          <w:rFonts w:asciiTheme="majorHAnsi" w:hAnsiTheme="majorHAnsi" w:cstheme="majorHAnsi"/>
          <w:sz w:val="24"/>
        </w:rPr>
        <w:t xml:space="preserve">. Los Estados miembros tendrían que adaptar las intervenciones de la PAC para maximizar su contribución a los objetivos de la UE. </w:t>
      </w:r>
      <w:r>
        <w:rPr>
          <w:rFonts w:asciiTheme="majorHAnsi" w:hAnsiTheme="majorHAnsi" w:cstheme="majorHAnsi"/>
          <w:sz w:val="24"/>
        </w:rPr>
        <w:t>L</w:t>
      </w:r>
      <w:r w:rsidRPr="00801C1B">
        <w:rPr>
          <w:rFonts w:asciiTheme="majorHAnsi" w:hAnsiTheme="majorHAnsi" w:cstheme="majorHAnsi"/>
          <w:sz w:val="24"/>
        </w:rPr>
        <w:t>os</w:t>
      </w:r>
      <w:r w:rsidR="004D1C1B">
        <w:rPr>
          <w:rFonts w:asciiTheme="majorHAnsi" w:hAnsiTheme="majorHAnsi" w:cstheme="majorHAnsi"/>
          <w:sz w:val="24"/>
        </w:rPr>
        <w:t xml:space="preserve"> Estados miembro</w:t>
      </w:r>
      <w:r>
        <w:rPr>
          <w:rFonts w:asciiTheme="majorHAnsi" w:hAnsiTheme="majorHAnsi" w:cstheme="majorHAnsi"/>
          <w:sz w:val="24"/>
        </w:rPr>
        <w:t xml:space="preserve"> también </w:t>
      </w:r>
      <w:r w:rsidR="003746DD">
        <w:rPr>
          <w:rFonts w:asciiTheme="majorHAnsi" w:hAnsiTheme="majorHAnsi" w:cstheme="majorHAnsi"/>
          <w:sz w:val="24"/>
        </w:rPr>
        <w:t>tendr</w:t>
      </w:r>
      <w:r w:rsidR="003746DD" w:rsidRPr="00801C1B">
        <w:rPr>
          <w:rFonts w:asciiTheme="majorHAnsi" w:hAnsiTheme="majorHAnsi" w:cstheme="majorHAnsi"/>
          <w:sz w:val="24"/>
        </w:rPr>
        <w:t>án</w:t>
      </w:r>
      <w:r w:rsidRPr="00801C1B">
        <w:rPr>
          <w:rFonts w:asciiTheme="majorHAnsi" w:hAnsiTheme="majorHAnsi" w:cstheme="majorHAnsi"/>
          <w:sz w:val="24"/>
        </w:rPr>
        <w:t xml:space="preserve"> más protagonismo a la hora de diseñar el marco de control y cumplimiento aplicable a los beneficiarios (incluidos los controles y las sanciones). </w:t>
      </w:r>
    </w:p>
    <w:p w14:paraId="50112185" w14:textId="77777777" w:rsidR="000A13D9" w:rsidRDefault="000A13D9" w:rsidP="00D4710E">
      <w:pPr>
        <w:spacing w:line="276" w:lineRule="auto"/>
        <w:jc w:val="both"/>
        <w:rPr>
          <w:rFonts w:asciiTheme="majorHAnsi" w:hAnsiTheme="majorHAnsi" w:cstheme="majorHAnsi"/>
          <w:sz w:val="24"/>
        </w:rPr>
      </w:pPr>
    </w:p>
    <w:p w14:paraId="08FBC1AB" w14:textId="555CB38B" w:rsidR="00801C1B" w:rsidRDefault="00801C1B" w:rsidP="00D4710E">
      <w:pPr>
        <w:spacing w:line="276" w:lineRule="auto"/>
        <w:jc w:val="both"/>
        <w:rPr>
          <w:rFonts w:asciiTheme="majorHAnsi" w:hAnsiTheme="majorHAnsi" w:cstheme="majorHAnsi"/>
          <w:sz w:val="24"/>
        </w:rPr>
      </w:pPr>
      <w:r w:rsidRPr="00801C1B">
        <w:rPr>
          <w:rFonts w:asciiTheme="majorHAnsi" w:hAnsiTheme="majorHAnsi" w:cstheme="majorHAnsi"/>
          <w:sz w:val="24"/>
        </w:rPr>
        <w:t>Con el fin de mejorar el valor añadido de la UE y mantener un mercado interior agrícola en func</w:t>
      </w:r>
      <w:r w:rsidR="004D1C1B">
        <w:rPr>
          <w:rFonts w:asciiTheme="majorHAnsi" w:hAnsiTheme="majorHAnsi" w:cstheme="majorHAnsi"/>
          <w:sz w:val="24"/>
        </w:rPr>
        <w:t>ionamiento, los Estados miembro</w:t>
      </w:r>
      <w:r w:rsidRPr="00801C1B">
        <w:rPr>
          <w:rFonts w:asciiTheme="majorHAnsi" w:hAnsiTheme="majorHAnsi" w:cstheme="majorHAnsi"/>
          <w:sz w:val="24"/>
        </w:rPr>
        <w:t xml:space="preserve"> tomar</w:t>
      </w:r>
      <w:r>
        <w:rPr>
          <w:rFonts w:asciiTheme="majorHAnsi" w:hAnsiTheme="majorHAnsi" w:cstheme="majorHAnsi"/>
          <w:sz w:val="24"/>
        </w:rPr>
        <w:t>á</w:t>
      </w:r>
      <w:r w:rsidRPr="00801C1B">
        <w:rPr>
          <w:rFonts w:asciiTheme="majorHAnsi" w:hAnsiTheme="majorHAnsi" w:cstheme="majorHAnsi"/>
          <w:sz w:val="24"/>
        </w:rPr>
        <w:t>n sus decisiones no de forma aislada, sino en el marco de un proceso estructurado que se materializaría en el establecimiento de un plan estratégico de la PAC, que abarcaría intervenciones tanto en el pilar I como en el pilar II, garantizando así la coherencia política en toda la f</w:t>
      </w:r>
      <w:r w:rsidR="00AF5E92">
        <w:rPr>
          <w:rFonts w:asciiTheme="majorHAnsi" w:hAnsiTheme="majorHAnsi" w:cstheme="majorHAnsi"/>
          <w:sz w:val="24"/>
        </w:rPr>
        <w:t>utura PAC y con otras políticas. La Comisión evaluará y aprobará</w:t>
      </w:r>
      <w:r w:rsidRPr="00801C1B">
        <w:rPr>
          <w:rFonts w:asciiTheme="majorHAnsi" w:hAnsiTheme="majorHAnsi" w:cstheme="majorHAnsi"/>
          <w:sz w:val="24"/>
        </w:rPr>
        <w:t xml:space="preserve"> dichos planes con vistas a maximizar la contribución de la PAC al cumplimiento de los objetivos y las prioridades de la UE así como la consecución de los objetivos de los Esta</w:t>
      </w:r>
      <w:r w:rsidR="004D1C1B">
        <w:rPr>
          <w:rFonts w:asciiTheme="majorHAnsi" w:hAnsiTheme="majorHAnsi" w:cstheme="majorHAnsi"/>
          <w:sz w:val="24"/>
        </w:rPr>
        <w:t>dos miembro</w:t>
      </w:r>
      <w:r w:rsidRPr="00801C1B">
        <w:rPr>
          <w:rFonts w:asciiTheme="majorHAnsi" w:hAnsiTheme="majorHAnsi" w:cstheme="majorHAnsi"/>
          <w:sz w:val="24"/>
        </w:rPr>
        <w:t xml:space="preserve"> en materia de clima y de energía. De este modo, la PAC y lo</w:t>
      </w:r>
      <w:r w:rsidR="004D1C1B">
        <w:rPr>
          <w:rFonts w:asciiTheme="majorHAnsi" w:hAnsiTheme="majorHAnsi" w:cstheme="majorHAnsi"/>
          <w:sz w:val="24"/>
        </w:rPr>
        <w:t>s planes de los Estados miembro</w:t>
      </w:r>
      <w:r w:rsidRPr="00801C1B">
        <w:rPr>
          <w:rFonts w:asciiTheme="majorHAnsi" w:hAnsiTheme="majorHAnsi" w:cstheme="majorHAnsi"/>
          <w:sz w:val="24"/>
        </w:rPr>
        <w:t xml:space="preserve"> se centrarían sobre todo en los objetivos y los resultados esperados, dejando al mismo tiempo suficiente espac</w:t>
      </w:r>
      <w:r w:rsidR="004D1C1B">
        <w:rPr>
          <w:rFonts w:asciiTheme="majorHAnsi" w:hAnsiTheme="majorHAnsi" w:cstheme="majorHAnsi"/>
          <w:sz w:val="24"/>
        </w:rPr>
        <w:t>io para que los Estados miembro</w:t>
      </w:r>
      <w:r w:rsidRPr="00801C1B">
        <w:rPr>
          <w:rFonts w:asciiTheme="majorHAnsi" w:hAnsiTheme="majorHAnsi" w:cstheme="majorHAnsi"/>
          <w:sz w:val="24"/>
        </w:rPr>
        <w:t xml:space="preserve"> y las regiones abordasen sus especificidades.</w:t>
      </w:r>
    </w:p>
    <w:p w14:paraId="19DDE6AC" w14:textId="77777777" w:rsidR="00F97180" w:rsidRDefault="00F97180" w:rsidP="00D4710E">
      <w:pPr>
        <w:spacing w:line="276" w:lineRule="auto"/>
        <w:jc w:val="both"/>
        <w:rPr>
          <w:rFonts w:asciiTheme="majorHAnsi" w:hAnsiTheme="majorHAnsi" w:cstheme="majorHAnsi"/>
          <w:sz w:val="24"/>
        </w:rPr>
      </w:pPr>
    </w:p>
    <w:p w14:paraId="27DFB074" w14:textId="01528173" w:rsidR="004823CE" w:rsidRDefault="004823CE" w:rsidP="00D4710E">
      <w:pPr>
        <w:spacing w:line="276" w:lineRule="auto"/>
        <w:jc w:val="both"/>
        <w:rPr>
          <w:rFonts w:asciiTheme="majorHAnsi" w:hAnsiTheme="majorHAnsi" w:cstheme="majorHAnsi"/>
          <w:sz w:val="24"/>
        </w:rPr>
      </w:pPr>
      <w:r w:rsidRPr="004823CE">
        <w:rPr>
          <w:rFonts w:asciiTheme="majorHAnsi" w:hAnsiTheme="majorHAnsi" w:cstheme="majorHAnsi"/>
          <w:sz w:val="24"/>
        </w:rPr>
        <w:t xml:space="preserve">España debe contar con una posición ampliamente consensuada para abordar con fortaleza el proceso negociador de la PAC en el seno del Consejo de Ministros de </w:t>
      </w:r>
      <w:r w:rsidRPr="004823CE">
        <w:rPr>
          <w:rFonts w:asciiTheme="majorHAnsi" w:hAnsiTheme="majorHAnsi" w:cstheme="majorHAnsi"/>
          <w:sz w:val="24"/>
        </w:rPr>
        <w:lastRenderedPageBreak/>
        <w:t>Agricultura de la Unión Europea, así como para trasladar la posición española en el procedimiento de elaboración de enmiendas a los textos legales en el Parlamento Europeo</w:t>
      </w:r>
      <w:r>
        <w:rPr>
          <w:rFonts w:asciiTheme="majorHAnsi" w:hAnsiTheme="majorHAnsi" w:cstheme="majorHAnsi"/>
          <w:sz w:val="24"/>
        </w:rPr>
        <w:t>.</w:t>
      </w:r>
    </w:p>
    <w:p w14:paraId="7C7E0360" w14:textId="77777777" w:rsidR="00801C1B" w:rsidRDefault="00801C1B" w:rsidP="00D4710E">
      <w:pPr>
        <w:spacing w:line="276" w:lineRule="auto"/>
        <w:jc w:val="both"/>
        <w:rPr>
          <w:rFonts w:asciiTheme="majorHAnsi" w:hAnsiTheme="majorHAnsi" w:cstheme="majorHAnsi"/>
          <w:sz w:val="24"/>
        </w:rPr>
      </w:pPr>
    </w:p>
    <w:p w14:paraId="42FD3887" w14:textId="7DEAD809" w:rsidR="00DC6956" w:rsidRPr="00C84AB8" w:rsidRDefault="00DC6956" w:rsidP="00D4710E">
      <w:pPr>
        <w:spacing w:line="276" w:lineRule="auto"/>
        <w:jc w:val="both"/>
        <w:rPr>
          <w:rFonts w:asciiTheme="majorHAnsi" w:hAnsiTheme="majorHAnsi" w:cstheme="majorHAnsi"/>
          <w:sz w:val="24"/>
        </w:rPr>
      </w:pPr>
      <w:r w:rsidRPr="00F3311F">
        <w:rPr>
          <w:rFonts w:asciiTheme="majorHAnsi" w:hAnsiTheme="majorHAnsi" w:cstheme="majorHAnsi"/>
          <w:sz w:val="24"/>
        </w:rPr>
        <w:t xml:space="preserve">La propuesta del Reglamento sobre los Planes Estratégicos de la </w:t>
      </w:r>
      <w:r w:rsidR="0045086F" w:rsidRPr="00F3311F">
        <w:rPr>
          <w:rFonts w:asciiTheme="majorHAnsi" w:hAnsiTheme="majorHAnsi" w:cstheme="majorHAnsi"/>
          <w:sz w:val="24"/>
        </w:rPr>
        <w:t xml:space="preserve">PAC establece en su artículo 6.1.c como objetivo específico </w:t>
      </w:r>
      <w:r w:rsidR="0045086F" w:rsidRPr="00F3311F">
        <w:rPr>
          <w:rFonts w:asciiTheme="majorHAnsi" w:hAnsiTheme="majorHAnsi" w:cstheme="majorHAnsi"/>
          <w:b/>
          <w:sz w:val="24"/>
        </w:rPr>
        <w:t>“Mejorar la posición de los agricultores en la cadena de valor”</w:t>
      </w:r>
      <w:r w:rsidR="00C84AB8">
        <w:rPr>
          <w:rFonts w:asciiTheme="majorHAnsi" w:hAnsiTheme="majorHAnsi" w:cstheme="majorHAnsi"/>
          <w:b/>
          <w:sz w:val="24"/>
        </w:rPr>
        <w:t xml:space="preserve"> </w:t>
      </w:r>
      <w:r w:rsidR="00C84AB8">
        <w:rPr>
          <w:rFonts w:asciiTheme="majorHAnsi" w:hAnsiTheme="majorHAnsi" w:cstheme="majorHAnsi"/>
          <w:sz w:val="24"/>
        </w:rPr>
        <w:t xml:space="preserve"> sobre la base de este planteamiento </w:t>
      </w:r>
      <w:r w:rsidR="00AF5E92">
        <w:rPr>
          <w:rFonts w:asciiTheme="majorHAnsi" w:hAnsiTheme="majorHAnsi" w:cstheme="majorHAnsi"/>
          <w:sz w:val="24"/>
        </w:rPr>
        <w:t xml:space="preserve">se desarrolla este documento con el fin de establecer el futuro plan </w:t>
      </w:r>
      <w:r w:rsidR="003746DD">
        <w:rPr>
          <w:rFonts w:asciiTheme="majorHAnsi" w:hAnsiTheme="majorHAnsi" w:cstheme="majorHAnsi"/>
          <w:sz w:val="24"/>
        </w:rPr>
        <w:t>estratégico</w:t>
      </w:r>
      <w:r w:rsidR="00AF5E92">
        <w:rPr>
          <w:rFonts w:asciiTheme="majorHAnsi" w:hAnsiTheme="majorHAnsi" w:cstheme="majorHAnsi"/>
          <w:sz w:val="24"/>
        </w:rPr>
        <w:t xml:space="preserve"> nacional.</w:t>
      </w:r>
    </w:p>
    <w:p w14:paraId="44CD7D64" w14:textId="77777777" w:rsidR="00455514" w:rsidRPr="00F3311F" w:rsidRDefault="00455514" w:rsidP="00D4710E">
      <w:pPr>
        <w:spacing w:line="276" w:lineRule="auto"/>
        <w:jc w:val="both"/>
        <w:rPr>
          <w:rFonts w:asciiTheme="majorHAnsi" w:hAnsiTheme="majorHAnsi" w:cstheme="majorHAnsi"/>
          <w:sz w:val="22"/>
        </w:rPr>
      </w:pPr>
    </w:p>
    <w:p w14:paraId="313478B5" w14:textId="195D571C" w:rsidR="00DC6956" w:rsidRPr="001A19E6" w:rsidRDefault="007A2D41" w:rsidP="00D4710E">
      <w:pPr>
        <w:pStyle w:val="Ttulo1"/>
        <w:numPr>
          <w:ilvl w:val="0"/>
          <w:numId w:val="1"/>
        </w:numPr>
        <w:spacing w:line="276" w:lineRule="auto"/>
        <w:rPr>
          <w:rFonts w:asciiTheme="majorHAnsi" w:hAnsiTheme="majorHAnsi" w:cstheme="majorHAnsi"/>
          <w:sz w:val="22"/>
        </w:rPr>
      </w:pPr>
      <w:bookmarkStart w:id="57" w:name="_Toc14695464"/>
      <w:r w:rsidRPr="001A19E6">
        <w:rPr>
          <w:rFonts w:asciiTheme="majorHAnsi" w:hAnsiTheme="majorHAnsi" w:cstheme="majorHAnsi"/>
          <w:sz w:val="28"/>
        </w:rPr>
        <w:t xml:space="preserve">Informacion aportada por el </w:t>
      </w:r>
      <w:proofErr w:type="spellStart"/>
      <w:r w:rsidRPr="001A19E6">
        <w:rPr>
          <w:rFonts w:asciiTheme="majorHAnsi" w:hAnsiTheme="majorHAnsi" w:cstheme="majorHAnsi"/>
          <w:sz w:val="28"/>
        </w:rPr>
        <w:t>Brief</w:t>
      </w:r>
      <w:proofErr w:type="spellEnd"/>
      <w:r w:rsidRPr="001A19E6">
        <w:rPr>
          <w:rFonts w:asciiTheme="majorHAnsi" w:hAnsiTheme="majorHAnsi" w:cstheme="majorHAnsi"/>
          <w:sz w:val="28"/>
        </w:rPr>
        <w:t xml:space="preserve"> de la Comisión</w:t>
      </w:r>
      <w:bookmarkEnd w:id="57"/>
      <w:r w:rsidR="00FE60C9" w:rsidRPr="001A19E6">
        <w:rPr>
          <w:rFonts w:asciiTheme="majorHAnsi" w:hAnsiTheme="majorHAnsi" w:cstheme="majorHAnsi"/>
          <w:sz w:val="28"/>
        </w:rPr>
        <w:t xml:space="preserve"> </w:t>
      </w:r>
    </w:p>
    <w:p w14:paraId="70E714D8" w14:textId="77777777" w:rsidR="00F97180" w:rsidRDefault="00F97180" w:rsidP="00D4710E">
      <w:pPr>
        <w:spacing w:line="276" w:lineRule="auto"/>
        <w:jc w:val="both"/>
        <w:rPr>
          <w:rFonts w:asciiTheme="majorHAnsi" w:hAnsiTheme="majorHAnsi" w:cstheme="majorHAnsi"/>
          <w:sz w:val="24"/>
          <w:szCs w:val="22"/>
        </w:rPr>
      </w:pPr>
    </w:p>
    <w:p w14:paraId="34CD1FB7" w14:textId="051D7224" w:rsidR="004C68F1" w:rsidRPr="00F3311F" w:rsidRDefault="004C68F1"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Para llevar a </w:t>
      </w:r>
      <w:r w:rsidR="0087248A" w:rsidRPr="00F3311F">
        <w:rPr>
          <w:rFonts w:asciiTheme="majorHAnsi" w:hAnsiTheme="majorHAnsi" w:cstheme="majorHAnsi"/>
          <w:sz w:val="24"/>
          <w:szCs w:val="22"/>
        </w:rPr>
        <w:t xml:space="preserve">cabo el diagnostico en los Planes Estratégicos por los Estados Miembro, la Comisión ha publicado para varios de los objetivos un </w:t>
      </w:r>
      <w:proofErr w:type="spellStart"/>
      <w:r w:rsidR="0087248A" w:rsidRPr="00F3311F">
        <w:rPr>
          <w:rFonts w:asciiTheme="majorHAnsi" w:hAnsiTheme="majorHAnsi" w:cstheme="majorHAnsi"/>
          <w:sz w:val="24"/>
          <w:szCs w:val="22"/>
        </w:rPr>
        <w:t>Briefing</w:t>
      </w:r>
      <w:proofErr w:type="spellEnd"/>
      <w:r w:rsidR="0087248A" w:rsidRPr="00F3311F">
        <w:rPr>
          <w:rFonts w:asciiTheme="majorHAnsi" w:hAnsiTheme="majorHAnsi" w:cstheme="majorHAnsi"/>
          <w:sz w:val="24"/>
          <w:szCs w:val="22"/>
        </w:rPr>
        <w:t xml:space="preserve">. Estos documentos </w:t>
      </w:r>
      <w:r w:rsidR="00FC609C" w:rsidRPr="00F3311F">
        <w:rPr>
          <w:rFonts w:asciiTheme="majorHAnsi" w:hAnsiTheme="majorHAnsi" w:cstheme="majorHAnsi"/>
          <w:sz w:val="24"/>
          <w:szCs w:val="22"/>
        </w:rPr>
        <w:t>tienen</w:t>
      </w:r>
      <w:r w:rsidR="0087248A" w:rsidRPr="00F3311F">
        <w:rPr>
          <w:rFonts w:asciiTheme="majorHAnsi" w:hAnsiTheme="majorHAnsi" w:cstheme="majorHAnsi"/>
          <w:sz w:val="24"/>
          <w:szCs w:val="22"/>
        </w:rPr>
        <w:t xml:space="preserve"> como objetivo resumir los hechos y cifras, así como afrontar la relevancia política de los objetivos específicos </w:t>
      </w:r>
      <w:r w:rsidR="000679E6" w:rsidRPr="00F3311F">
        <w:rPr>
          <w:rFonts w:asciiTheme="majorHAnsi" w:hAnsiTheme="majorHAnsi" w:cstheme="majorHAnsi"/>
          <w:sz w:val="24"/>
          <w:szCs w:val="22"/>
        </w:rPr>
        <w:t>(9</w:t>
      </w:r>
      <w:r w:rsidR="0087248A" w:rsidRPr="00F3311F">
        <w:rPr>
          <w:rFonts w:asciiTheme="majorHAnsi" w:hAnsiTheme="majorHAnsi" w:cstheme="majorHAnsi"/>
          <w:sz w:val="24"/>
          <w:szCs w:val="22"/>
        </w:rPr>
        <w:t xml:space="preserve">) de la futura PAC. En el caso del </w:t>
      </w:r>
      <w:proofErr w:type="spellStart"/>
      <w:r w:rsidR="0087248A" w:rsidRPr="00F3311F">
        <w:rPr>
          <w:rFonts w:asciiTheme="majorHAnsi" w:hAnsiTheme="majorHAnsi" w:cstheme="majorHAnsi"/>
          <w:sz w:val="24"/>
          <w:szCs w:val="22"/>
        </w:rPr>
        <w:t>Briefing</w:t>
      </w:r>
      <w:proofErr w:type="spellEnd"/>
      <w:r w:rsidR="0087248A" w:rsidRPr="00F3311F">
        <w:rPr>
          <w:rFonts w:asciiTheme="majorHAnsi" w:hAnsiTheme="majorHAnsi" w:cstheme="majorHAnsi"/>
          <w:sz w:val="24"/>
          <w:szCs w:val="22"/>
        </w:rPr>
        <w:t xml:space="preserve"> 3 se trata de un documento abierto con datos de los Estados Miembro y a nivel de la </w:t>
      </w:r>
      <w:r w:rsidR="003746DD" w:rsidRPr="00F3311F">
        <w:rPr>
          <w:rFonts w:asciiTheme="majorHAnsi" w:hAnsiTheme="majorHAnsi" w:cstheme="majorHAnsi"/>
          <w:sz w:val="24"/>
          <w:szCs w:val="22"/>
        </w:rPr>
        <w:t>UE</w:t>
      </w:r>
      <w:r w:rsidR="0087248A" w:rsidRPr="00F3311F">
        <w:rPr>
          <w:rFonts w:asciiTheme="majorHAnsi" w:hAnsiTheme="majorHAnsi" w:cstheme="majorHAnsi"/>
          <w:sz w:val="24"/>
          <w:szCs w:val="22"/>
        </w:rPr>
        <w:t>.</w:t>
      </w:r>
    </w:p>
    <w:p w14:paraId="6C17A3CB" w14:textId="77777777" w:rsidR="00F97180" w:rsidRDefault="00F97180" w:rsidP="00D4710E">
      <w:pPr>
        <w:spacing w:line="276" w:lineRule="auto"/>
        <w:jc w:val="both"/>
        <w:rPr>
          <w:rFonts w:asciiTheme="majorHAnsi" w:hAnsiTheme="majorHAnsi" w:cstheme="majorHAnsi"/>
          <w:sz w:val="24"/>
          <w:szCs w:val="22"/>
        </w:rPr>
      </w:pPr>
    </w:p>
    <w:p w14:paraId="7627B9D8" w14:textId="55B166C9" w:rsidR="0087248A" w:rsidRPr="00F3311F" w:rsidRDefault="0087248A"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El informe parte de cuatro mensajes clave:</w:t>
      </w:r>
    </w:p>
    <w:p w14:paraId="182C4398" w14:textId="77777777" w:rsidR="006978F4" w:rsidRPr="00F3311F" w:rsidRDefault="0087248A" w:rsidP="00D4710E">
      <w:pPr>
        <w:pStyle w:val="Prrafodelista"/>
        <w:numPr>
          <w:ilvl w:val="1"/>
          <w:numId w:val="1"/>
        </w:numPr>
        <w:spacing w:line="276" w:lineRule="auto"/>
        <w:jc w:val="both"/>
        <w:rPr>
          <w:rFonts w:asciiTheme="majorHAnsi" w:hAnsiTheme="majorHAnsi" w:cstheme="majorHAnsi"/>
          <w:sz w:val="24"/>
        </w:rPr>
      </w:pPr>
      <w:r w:rsidRPr="00F3311F">
        <w:rPr>
          <w:rFonts w:asciiTheme="majorHAnsi" w:hAnsiTheme="majorHAnsi" w:cstheme="majorHAnsi"/>
          <w:sz w:val="24"/>
        </w:rPr>
        <w:t xml:space="preserve">La importancia de la cadena alimentaria que se extiende desde el productor hasta 500 millones de </w:t>
      </w:r>
      <w:r w:rsidR="006978F4" w:rsidRPr="00F3311F">
        <w:rPr>
          <w:rFonts w:asciiTheme="majorHAnsi" w:hAnsiTheme="majorHAnsi" w:cstheme="majorHAnsi"/>
          <w:sz w:val="24"/>
        </w:rPr>
        <w:t>consumidores</w:t>
      </w:r>
      <w:r w:rsidRPr="00F3311F">
        <w:rPr>
          <w:rFonts w:asciiTheme="majorHAnsi" w:hAnsiTheme="majorHAnsi" w:cstheme="majorHAnsi"/>
          <w:sz w:val="24"/>
        </w:rPr>
        <w:t>, se caracteriza</w:t>
      </w:r>
      <w:r w:rsidR="006978F4" w:rsidRPr="00F3311F">
        <w:rPr>
          <w:rFonts w:asciiTheme="majorHAnsi" w:hAnsiTheme="majorHAnsi" w:cstheme="majorHAnsi"/>
          <w:sz w:val="24"/>
        </w:rPr>
        <w:t xml:space="preserve"> por promocionar un número elevado de empleos pero hay un bajo reparto de valor añadido en la cadena alimentaria por altos costes de inputs, variabilidad de la producción y la incorporación de nuevos servicios.</w:t>
      </w:r>
    </w:p>
    <w:p w14:paraId="32EEB729" w14:textId="3CABCB7E" w:rsidR="006978F4" w:rsidRPr="00F3311F" w:rsidRDefault="006978F4" w:rsidP="00D4710E">
      <w:pPr>
        <w:pStyle w:val="Prrafodelista"/>
        <w:numPr>
          <w:ilvl w:val="1"/>
          <w:numId w:val="1"/>
        </w:numPr>
        <w:spacing w:line="276" w:lineRule="auto"/>
        <w:jc w:val="both"/>
        <w:rPr>
          <w:rFonts w:asciiTheme="majorHAnsi" w:hAnsiTheme="majorHAnsi" w:cstheme="majorHAnsi"/>
          <w:sz w:val="24"/>
        </w:rPr>
      </w:pPr>
      <w:r w:rsidRPr="00F3311F">
        <w:rPr>
          <w:rFonts w:asciiTheme="majorHAnsi" w:hAnsiTheme="majorHAnsi" w:cstheme="majorHAnsi"/>
          <w:sz w:val="24"/>
        </w:rPr>
        <w:t>La innovación en la cadena alimentaria no se restringe solo a productos y procesos sino a la innovación organizativa, que viene de la mano de nuevas tecnologías y la evolución de las demandas del consumidor.</w:t>
      </w:r>
    </w:p>
    <w:p w14:paraId="76D6F0F9" w14:textId="77777777" w:rsidR="006978F4" w:rsidRPr="00F3311F" w:rsidRDefault="006978F4" w:rsidP="00D4710E">
      <w:pPr>
        <w:pStyle w:val="Prrafodelista"/>
        <w:numPr>
          <w:ilvl w:val="1"/>
          <w:numId w:val="1"/>
        </w:numPr>
        <w:spacing w:line="276" w:lineRule="auto"/>
        <w:jc w:val="both"/>
        <w:rPr>
          <w:rFonts w:asciiTheme="majorHAnsi" w:hAnsiTheme="majorHAnsi" w:cstheme="majorHAnsi"/>
          <w:sz w:val="24"/>
        </w:rPr>
      </w:pPr>
      <w:r w:rsidRPr="00F3311F">
        <w:rPr>
          <w:rFonts w:asciiTheme="majorHAnsi" w:hAnsiTheme="majorHAnsi" w:cstheme="majorHAnsi"/>
          <w:sz w:val="24"/>
        </w:rPr>
        <w:t>La concentración más elevada de industria y distribución  en relación con los productores, deja a estos últimos en una posición débil.</w:t>
      </w:r>
    </w:p>
    <w:p w14:paraId="6D118F3F" w14:textId="6CA35C74" w:rsidR="0087248A" w:rsidRPr="00F3311F" w:rsidRDefault="006978F4" w:rsidP="00D4710E">
      <w:pPr>
        <w:pStyle w:val="Prrafodelista"/>
        <w:numPr>
          <w:ilvl w:val="1"/>
          <w:numId w:val="1"/>
        </w:numPr>
        <w:spacing w:line="276" w:lineRule="auto"/>
        <w:jc w:val="both"/>
        <w:rPr>
          <w:rFonts w:asciiTheme="majorHAnsi" w:hAnsiTheme="majorHAnsi" w:cstheme="majorHAnsi"/>
          <w:sz w:val="24"/>
        </w:rPr>
      </w:pPr>
      <w:r w:rsidRPr="00F3311F">
        <w:rPr>
          <w:rFonts w:asciiTheme="majorHAnsi" w:hAnsiTheme="majorHAnsi" w:cstheme="majorHAnsi"/>
          <w:sz w:val="24"/>
        </w:rPr>
        <w:t xml:space="preserve">El futuro de la </w:t>
      </w:r>
      <w:r w:rsidR="00F97180">
        <w:rPr>
          <w:rFonts w:asciiTheme="majorHAnsi" w:hAnsiTheme="majorHAnsi" w:cstheme="majorHAnsi"/>
          <w:sz w:val="24"/>
        </w:rPr>
        <w:t>PAC</w:t>
      </w:r>
      <w:r w:rsidRPr="00F3311F">
        <w:rPr>
          <w:rFonts w:asciiTheme="majorHAnsi" w:hAnsiTheme="majorHAnsi" w:cstheme="majorHAnsi"/>
          <w:sz w:val="24"/>
        </w:rPr>
        <w:t xml:space="preserve"> tiene por objetivo fortalecer la posición de los agricultores en la cadena de valor creando sinergias en la cadena, aumentando la orientación hacia el mercado, impulsando la innovación, mejorando la transparencia de mercado y asegurando mecanismos efectivos contra </w:t>
      </w:r>
      <w:r w:rsidR="00D6152D" w:rsidRPr="00F3311F">
        <w:rPr>
          <w:rFonts w:asciiTheme="majorHAnsi" w:hAnsiTheme="majorHAnsi" w:cstheme="majorHAnsi"/>
          <w:sz w:val="24"/>
        </w:rPr>
        <w:t xml:space="preserve">las </w:t>
      </w:r>
      <w:r w:rsidR="009679B2" w:rsidRPr="00F3311F">
        <w:rPr>
          <w:rFonts w:asciiTheme="majorHAnsi" w:hAnsiTheme="majorHAnsi" w:cstheme="majorHAnsi"/>
          <w:sz w:val="24"/>
        </w:rPr>
        <w:t xml:space="preserve">Prácticas Comerciales Desleales ( </w:t>
      </w:r>
      <w:proofErr w:type="spellStart"/>
      <w:r w:rsidR="00147881">
        <w:rPr>
          <w:rFonts w:asciiTheme="majorHAnsi" w:hAnsiTheme="majorHAnsi" w:cstheme="majorHAnsi"/>
          <w:sz w:val="24"/>
        </w:rPr>
        <w:t>UTP</w:t>
      </w:r>
      <w:r w:rsidR="009679B2" w:rsidRPr="00F3311F">
        <w:rPr>
          <w:rFonts w:asciiTheme="majorHAnsi" w:hAnsiTheme="majorHAnsi" w:cstheme="majorHAnsi"/>
          <w:sz w:val="24"/>
        </w:rPr>
        <w:t>s</w:t>
      </w:r>
      <w:proofErr w:type="spellEnd"/>
      <w:r w:rsidR="009679B2" w:rsidRPr="00F3311F">
        <w:rPr>
          <w:rFonts w:asciiTheme="majorHAnsi" w:hAnsiTheme="majorHAnsi" w:cstheme="majorHAnsi"/>
          <w:sz w:val="24"/>
        </w:rPr>
        <w:t>)</w:t>
      </w:r>
    </w:p>
    <w:p w14:paraId="4749F263" w14:textId="77777777" w:rsidR="009679B2" w:rsidRPr="00F3311F" w:rsidRDefault="009679B2" w:rsidP="00D4710E">
      <w:pPr>
        <w:pStyle w:val="Prrafodelista"/>
        <w:spacing w:line="276" w:lineRule="auto"/>
        <w:ind w:left="1440"/>
        <w:jc w:val="both"/>
        <w:rPr>
          <w:rFonts w:asciiTheme="majorHAnsi" w:hAnsiTheme="majorHAnsi" w:cstheme="majorHAnsi"/>
          <w:sz w:val="24"/>
        </w:rPr>
      </w:pPr>
    </w:p>
    <w:p w14:paraId="3C468C78" w14:textId="2DFF6B51" w:rsidR="004C68F1" w:rsidRPr="00F3311F" w:rsidRDefault="009679B2"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Tras estos mensajes clave, </w:t>
      </w:r>
      <w:r w:rsidR="00A32422">
        <w:rPr>
          <w:rFonts w:asciiTheme="majorHAnsi" w:hAnsiTheme="majorHAnsi" w:cstheme="majorHAnsi"/>
          <w:sz w:val="24"/>
          <w:szCs w:val="22"/>
        </w:rPr>
        <w:t xml:space="preserve">el </w:t>
      </w:r>
      <w:proofErr w:type="spellStart"/>
      <w:r w:rsidR="00A32422">
        <w:rPr>
          <w:rFonts w:asciiTheme="majorHAnsi" w:hAnsiTheme="majorHAnsi" w:cstheme="majorHAnsi"/>
          <w:sz w:val="24"/>
          <w:szCs w:val="22"/>
        </w:rPr>
        <w:t>B</w:t>
      </w:r>
      <w:r w:rsidRPr="00F3311F">
        <w:rPr>
          <w:rFonts w:asciiTheme="majorHAnsi" w:hAnsiTheme="majorHAnsi" w:cstheme="majorHAnsi"/>
          <w:sz w:val="24"/>
          <w:szCs w:val="22"/>
        </w:rPr>
        <w:t>riefing</w:t>
      </w:r>
      <w:proofErr w:type="spellEnd"/>
      <w:r w:rsidRPr="00F3311F">
        <w:rPr>
          <w:rFonts w:asciiTheme="majorHAnsi" w:hAnsiTheme="majorHAnsi" w:cstheme="majorHAnsi"/>
          <w:sz w:val="24"/>
          <w:szCs w:val="22"/>
        </w:rPr>
        <w:t xml:space="preserve"> se desglosa en dos apartados: </w:t>
      </w:r>
      <w:r w:rsidR="005E2C8E" w:rsidRPr="00F3311F">
        <w:rPr>
          <w:rFonts w:asciiTheme="majorHAnsi" w:hAnsiTheme="majorHAnsi" w:cstheme="majorHAnsi"/>
          <w:sz w:val="24"/>
          <w:szCs w:val="22"/>
        </w:rPr>
        <w:t>“</w:t>
      </w:r>
      <w:r w:rsidRPr="00F3311F">
        <w:rPr>
          <w:rFonts w:asciiTheme="majorHAnsi" w:hAnsiTheme="majorHAnsi" w:cstheme="majorHAnsi"/>
          <w:b/>
          <w:sz w:val="24"/>
          <w:szCs w:val="22"/>
        </w:rPr>
        <w:t>Tendencias y Desafíos de la cadena de valor agroalimentaria</w:t>
      </w:r>
      <w:r w:rsidR="005E2C8E" w:rsidRPr="00F3311F">
        <w:rPr>
          <w:rFonts w:asciiTheme="majorHAnsi" w:hAnsiTheme="majorHAnsi" w:cstheme="majorHAnsi"/>
          <w:sz w:val="24"/>
          <w:szCs w:val="22"/>
        </w:rPr>
        <w:t>”,</w:t>
      </w:r>
      <w:r w:rsidRPr="00F3311F">
        <w:rPr>
          <w:rFonts w:asciiTheme="majorHAnsi" w:hAnsiTheme="majorHAnsi" w:cstheme="majorHAnsi"/>
          <w:sz w:val="24"/>
          <w:szCs w:val="22"/>
        </w:rPr>
        <w:t xml:space="preserve"> en primer lugar y </w:t>
      </w:r>
      <w:r w:rsidR="005E2C8E" w:rsidRPr="00F3311F">
        <w:rPr>
          <w:rFonts w:asciiTheme="majorHAnsi" w:hAnsiTheme="majorHAnsi" w:cstheme="majorHAnsi"/>
          <w:sz w:val="24"/>
          <w:szCs w:val="22"/>
        </w:rPr>
        <w:t>“</w:t>
      </w:r>
      <w:r w:rsidRPr="00F3311F">
        <w:rPr>
          <w:rFonts w:asciiTheme="majorHAnsi" w:hAnsiTheme="majorHAnsi" w:cstheme="majorHAnsi"/>
          <w:b/>
          <w:sz w:val="24"/>
          <w:szCs w:val="22"/>
        </w:rPr>
        <w:t>Afrontar los Desafíos</w:t>
      </w:r>
      <w:r w:rsidR="005E2C8E" w:rsidRPr="00F3311F">
        <w:rPr>
          <w:rFonts w:asciiTheme="majorHAnsi" w:hAnsiTheme="majorHAnsi" w:cstheme="majorHAnsi"/>
          <w:sz w:val="24"/>
          <w:szCs w:val="22"/>
        </w:rPr>
        <w:t>”</w:t>
      </w:r>
      <w:r w:rsidRPr="00F3311F">
        <w:rPr>
          <w:rFonts w:asciiTheme="majorHAnsi" w:hAnsiTheme="majorHAnsi" w:cstheme="majorHAnsi"/>
          <w:sz w:val="24"/>
          <w:szCs w:val="22"/>
        </w:rPr>
        <w:t>, en segundo.</w:t>
      </w:r>
    </w:p>
    <w:p w14:paraId="21728153" w14:textId="77777777" w:rsidR="005E2C8E" w:rsidRDefault="005E2C8E" w:rsidP="00D4710E">
      <w:pPr>
        <w:spacing w:line="276" w:lineRule="auto"/>
        <w:jc w:val="both"/>
        <w:rPr>
          <w:rFonts w:asciiTheme="majorHAnsi" w:hAnsiTheme="majorHAnsi" w:cstheme="majorHAnsi"/>
          <w:sz w:val="24"/>
          <w:szCs w:val="22"/>
        </w:rPr>
      </w:pPr>
    </w:p>
    <w:p w14:paraId="521ECBCB" w14:textId="77777777" w:rsidR="00F97180" w:rsidRPr="00F3311F" w:rsidRDefault="00F97180" w:rsidP="00D4710E">
      <w:pPr>
        <w:spacing w:line="276" w:lineRule="auto"/>
        <w:jc w:val="both"/>
        <w:rPr>
          <w:rFonts w:asciiTheme="majorHAnsi" w:hAnsiTheme="majorHAnsi" w:cstheme="majorHAnsi"/>
          <w:sz w:val="24"/>
          <w:szCs w:val="22"/>
        </w:rPr>
      </w:pPr>
    </w:p>
    <w:p w14:paraId="42E7EF09" w14:textId="56C9FE17" w:rsidR="00FB4E69" w:rsidRPr="00F3311F" w:rsidRDefault="00FB4E69"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lastRenderedPageBreak/>
        <w:t>“</w:t>
      </w:r>
      <w:r w:rsidRPr="00F3311F">
        <w:rPr>
          <w:rFonts w:asciiTheme="majorHAnsi" w:hAnsiTheme="majorHAnsi" w:cstheme="majorHAnsi"/>
          <w:b/>
          <w:sz w:val="24"/>
          <w:szCs w:val="22"/>
        </w:rPr>
        <w:t>Tendencias y Desafíos de la cadena de valor agroalimentaria</w:t>
      </w:r>
      <w:r w:rsidRPr="00F3311F">
        <w:rPr>
          <w:rFonts w:asciiTheme="majorHAnsi" w:hAnsiTheme="majorHAnsi" w:cstheme="majorHAnsi"/>
          <w:sz w:val="24"/>
          <w:szCs w:val="22"/>
        </w:rPr>
        <w:t>”</w:t>
      </w:r>
    </w:p>
    <w:p w14:paraId="1E259FAF" w14:textId="77777777" w:rsidR="00FB4E69" w:rsidRPr="00F3311F" w:rsidRDefault="00FB4E69" w:rsidP="00D4710E">
      <w:pPr>
        <w:spacing w:line="276" w:lineRule="auto"/>
        <w:jc w:val="both"/>
        <w:rPr>
          <w:rFonts w:asciiTheme="majorHAnsi" w:hAnsiTheme="majorHAnsi" w:cstheme="majorHAnsi"/>
          <w:sz w:val="24"/>
          <w:szCs w:val="22"/>
        </w:rPr>
      </w:pPr>
    </w:p>
    <w:p w14:paraId="42DA174C" w14:textId="238EA91B" w:rsidR="009679B2" w:rsidRPr="00F3311F" w:rsidRDefault="005E2C8E"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Dentro de las tendencias y desafíos de la cadena alimentaria</w:t>
      </w:r>
      <w:r w:rsidR="00F13F7F" w:rsidRPr="00F3311F">
        <w:rPr>
          <w:rFonts w:asciiTheme="majorHAnsi" w:hAnsiTheme="majorHAnsi" w:cstheme="majorHAnsi"/>
          <w:sz w:val="24"/>
          <w:szCs w:val="22"/>
        </w:rPr>
        <w:t>,</w:t>
      </w:r>
      <w:r w:rsidRPr="00F3311F">
        <w:rPr>
          <w:rFonts w:asciiTheme="majorHAnsi" w:hAnsiTheme="majorHAnsi" w:cstheme="majorHAnsi"/>
          <w:sz w:val="24"/>
          <w:szCs w:val="22"/>
        </w:rPr>
        <w:t xml:space="preserve"> destaca  la diversidad y dinamismo de la cadena europea para responder a las demandas del consumidor, compitiendo en los mercados mundiales para la mayor parte de los productos</w:t>
      </w:r>
      <w:r w:rsidR="00F13F7F" w:rsidRPr="00F3311F">
        <w:rPr>
          <w:rFonts w:asciiTheme="majorHAnsi" w:hAnsiTheme="majorHAnsi" w:cstheme="majorHAnsi"/>
          <w:sz w:val="24"/>
          <w:szCs w:val="22"/>
        </w:rPr>
        <w:t xml:space="preserve"> y</w:t>
      </w:r>
      <w:r w:rsidRPr="00F3311F">
        <w:rPr>
          <w:rFonts w:asciiTheme="majorHAnsi" w:hAnsiTheme="majorHAnsi" w:cstheme="majorHAnsi"/>
          <w:sz w:val="24"/>
          <w:szCs w:val="22"/>
        </w:rPr>
        <w:t xml:space="preserve"> siendo líderes en términos de diversidad y calidad de los productos así como en términos de exportación</w:t>
      </w:r>
      <w:r w:rsidR="00F13F7F" w:rsidRPr="00F3311F">
        <w:rPr>
          <w:rFonts w:asciiTheme="majorHAnsi" w:hAnsiTheme="majorHAnsi" w:cstheme="majorHAnsi"/>
          <w:sz w:val="24"/>
          <w:szCs w:val="22"/>
        </w:rPr>
        <w:t>,</w:t>
      </w:r>
      <w:r w:rsidRPr="00F3311F">
        <w:rPr>
          <w:rFonts w:asciiTheme="majorHAnsi" w:hAnsiTheme="majorHAnsi" w:cstheme="majorHAnsi"/>
          <w:sz w:val="24"/>
          <w:szCs w:val="22"/>
        </w:rPr>
        <w:t xml:space="preserve"> alcanzando los 138 billones en 2018.</w:t>
      </w:r>
    </w:p>
    <w:p w14:paraId="32FA23C3" w14:textId="77777777" w:rsidR="00F13F7F" w:rsidRPr="00F3311F" w:rsidRDefault="00F13F7F" w:rsidP="00D4710E">
      <w:pPr>
        <w:spacing w:line="276" w:lineRule="auto"/>
        <w:jc w:val="both"/>
        <w:rPr>
          <w:rFonts w:asciiTheme="majorHAnsi" w:hAnsiTheme="majorHAnsi" w:cstheme="majorHAnsi"/>
          <w:sz w:val="24"/>
          <w:szCs w:val="22"/>
        </w:rPr>
      </w:pPr>
    </w:p>
    <w:p w14:paraId="698882C6" w14:textId="05DEF9F4" w:rsidR="005E2C8E" w:rsidRPr="00F3311F" w:rsidRDefault="005E2C8E"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La </w:t>
      </w:r>
      <w:r w:rsidR="00F97180">
        <w:rPr>
          <w:rFonts w:asciiTheme="majorHAnsi" w:hAnsiTheme="majorHAnsi" w:cstheme="majorHAnsi"/>
          <w:sz w:val="24"/>
          <w:szCs w:val="22"/>
        </w:rPr>
        <w:t>PAC</w:t>
      </w:r>
      <w:r w:rsidRPr="00F3311F">
        <w:rPr>
          <w:rFonts w:asciiTheme="majorHAnsi" w:hAnsiTheme="majorHAnsi" w:cstheme="majorHAnsi"/>
          <w:sz w:val="24"/>
          <w:szCs w:val="22"/>
        </w:rPr>
        <w:t xml:space="preserve"> ha tenido un importante papel en el desarrollo de la cadena, mejorando la orientación al mercado de los productores agrícolas y aumentando su productividad. En términos numéricos el sector</w:t>
      </w:r>
      <w:r w:rsidR="00F13F7F" w:rsidRPr="00F3311F">
        <w:rPr>
          <w:rFonts w:asciiTheme="majorHAnsi" w:hAnsiTheme="majorHAnsi" w:cstheme="majorHAnsi"/>
          <w:sz w:val="24"/>
          <w:szCs w:val="22"/>
        </w:rPr>
        <w:t xml:space="preserve"> </w:t>
      </w:r>
      <w:r w:rsidRPr="00F3311F">
        <w:rPr>
          <w:rFonts w:asciiTheme="majorHAnsi" w:hAnsiTheme="majorHAnsi" w:cstheme="majorHAnsi"/>
          <w:sz w:val="24"/>
          <w:szCs w:val="22"/>
        </w:rPr>
        <w:t>productor proporciona 22 millones de empleos y 43 millones si incluimos toda la cadena alimentaria.</w:t>
      </w:r>
      <w:r w:rsidR="00F13F7F" w:rsidRPr="00F3311F">
        <w:rPr>
          <w:rFonts w:asciiTheme="majorHAnsi" w:hAnsiTheme="majorHAnsi" w:cstheme="majorHAnsi"/>
          <w:sz w:val="24"/>
          <w:szCs w:val="22"/>
        </w:rPr>
        <w:t xml:space="preserve"> </w:t>
      </w:r>
    </w:p>
    <w:p w14:paraId="17BACACA" w14:textId="64A8C91F" w:rsidR="005E2C8E" w:rsidRPr="00F3311F" w:rsidRDefault="005E2C8E"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 </w:t>
      </w:r>
    </w:p>
    <w:p w14:paraId="35E0A42F" w14:textId="3A38A5F8" w:rsidR="009679B2" w:rsidRPr="00F3311F" w:rsidRDefault="00F13F7F" w:rsidP="00D4710E">
      <w:pPr>
        <w:spacing w:line="276" w:lineRule="auto"/>
        <w:jc w:val="both"/>
        <w:rPr>
          <w:rFonts w:asciiTheme="majorHAnsi" w:hAnsiTheme="majorHAnsi" w:cstheme="majorHAnsi"/>
          <w:sz w:val="24"/>
          <w:szCs w:val="22"/>
        </w:rPr>
      </w:pPr>
      <w:r w:rsidRPr="00F3311F">
        <w:rPr>
          <w:rFonts w:asciiTheme="majorHAnsi" w:hAnsiTheme="majorHAnsi" w:cstheme="majorHAnsi"/>
          <w:noProof/>
          <w:sz w:val="24"/>
          <w:szCs w:val="22"/>
          <w:lang w:val="es-ES"/>
        </w:rPr>
        <mc:AlternateContent>
          <mc:Choice Requires="wps">
            <w:drawing>
              <wp:anchor distT="45720" distB="45720" distL="114300" distR="114300" simplePos="0" relativeHeight="251663360" behindDoc="0" locked="0" layoutInCell="1" allowOverlap="1" wp14:anchorId="76928D95" wp14:editId="569B35BE">
                <wp:simplePos x="0" y="0"/>
                <wp:positionH relativeFrom="margin">
                  <wp:align>center</wp:align>
                </wp:positionH>
                <wp:positionV relativeFrom="paragraph">
                  <wp:posOffset>28575</wp:posOffset>
                </wp:positionV>
                <wp:extent cx="3670935" cy="1734820"/>
                <wp:effectExtent l="0" t="0" r="24765"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734820"/>
                        </a:xfrm>
                        <a:prstGeom prst="rect">
                          <a:avLst/>
                        </a:prstGeom>
                        <a:solidFill>
                          <a:srgbClr val="FFFFFF"/>
                        </a:solidFill>
                        <a:ln w="9525">
                          <a:solidFill>
                            <a:srgbClr val="000000"/>
                          </a:solidFill>
                          <a:miter lim="800000"/>
                          <a:headEnd/>
                          <a:tailEnd/>
                        </a:ln>
                      </wps:spPr>
                      <wps:txbx>
                        <w:txbxContent>
                          <w:p w14:paraId="7D80984D" w14:textId="4F51C0CA" w:rsidR="00BC04DA" w:rsidRDefault="00BC04DA">
                            <w:r w:rsidRPr="00F13F7F">
                              <w:rPr>
                                <w:noProof/>
                                <w:lang w:val="es-ES"/>
                              </w:rPr>
                              <w:drawing>
                                <wp:inline distT="0" distB="0" distL="0" distR="0" wp14:anchorId="24414A73" wp14:editId="3000C845">
                                  <wp:extent cx="3479165" cy="245774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165" cy="24577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8D95" id="_x0000_s1027" type="#_x0000_t202" style="position:absolute;left:0;text-align:left;margin-left:0;margin-top:2.25pt;width:289.05pt;height:136.6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">
                <v:textbox>
                  <w:txbxContent>
                    <w:p w14:paraId="7D80984D" w14:textId="4F51C0CA" w:rsidR="00BC04DA" w:rsidRDefault="00BC04DA">
                      <w:r w:rsidRPr="00F13F7F">
                        <w:rPr>
                          <w:noProof/>
                          <w:lang w:val="es-ES"/>
                        </w:rPr>
                        <w:drawing>
                          <wp:inline distT="0" distB="0" distL="0" distR="0" wp14:anchorId="24414A73" wp14:editId="3000C845">
                            <wp:extent cx="3479165" cy="245774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165" cy="2457743"/>
                                    </a:xfrm>
                                    <a:prstGeom prst="rect">
                                      <a:avLst/>
                                    </a:prstGeom>
                                    <a:noFill/>
                                    <a:ln>
                                      <a:noFill/>
                                    </a:ln>
                                  </pic:spPr>
                                </pic:pic>
                              </a:graphicData>
                            </a:graphic>
                          </wp:inline>
                        </w:drawing>
                      </w:r>
                    </w:p>
                  </w:txbxContent>
                </v:textbox>
                <w10:wrap type="square" anchorx="margin"/>
              </v:shape>
            </w:pict>
          </mc:Fallback>
        </mc:AlternateContent>
      </w:r>
    </w:p>
    <w:p w14:paraId="4533E430" w14:textId="77777777" w:rsidR="005E2C8E" w:rsidRPr="00F3311F" w:rsidRDefault="005E2C8E" w:rsidP="00D4710E">
      <w:pPr>
        <w:spacing w:line="276" w:lineRule="auto"/>
        <w:jc w:val="both"/>
        <w:rPr>
          <w:rFonts w:asciiTheme="majorHAnsi" w:hAnsiTheme="majorHAnsi" w:cstheme="majorHAnsi"/>
          <w:sz w:val="24"/>
          <w:szCs w:val="22"/>
        </w:rPr>
      </w:pPr>
    </w:p>
    <w:p w14:paraId="203658F3" w14:textId="77777777" w:rsidR="005E2C8E" w:rsidRPr="00F3311F" w:rsidRDefault="005E2C8E" w:rsidP="00D4710E">
      <w:pPr>
        <w:spacing w:line="276" w:lineRule="auto"/>
        <w:jc w:val="both"/>
        <w:rPr>
          <w:rFonts w:asciiTheme="majorHAnsi" w:hAnsiTheme="majorHAnsi" w:cstheme="majorHAnsi"/>
          <w:sz w:val="24"/>
          <w:szCs w:val="22"/>
        </w:rPr>
      </w:pPr>
    </w:p>
    <w:p w14:paraId="5FFF1933" w14:textId="77777777" w:rsidR="005E2C8E" w:rsidRPr="00F3311F" w:rsidRDefault="005E2C8E" w:rsidP="00D4710E">
      <w:pPr>
        <w:spacing w:line="276" w:lineRule="auto"/>
        <w:jc w:val="both"/>
        <w:rPr>
          <w:rFonts w:asciiTheme="majorHAnsi" w:hAnsiTheme="majorHAnsi" w:cstheme="majorHAnsi"/>
          <w:sz w:val="24"/>
          <w:szCs w:val="22"/>
        </w:rPr>
      </w:pPr>
    </w:p>
    <w:p w14:paraId="587698D6" w14:textId="77777777" w:rsidR="005E2C8E" w:rsidRPr="00F3311F" w:rsidRDefault="005E2C8E" w:rsidP="00D4710E">
      <w:pPr>
        <w:spacing w:line="276" w:lineRule="auto"/>
        <w:jc w:val="both"/>
        <w:rPr>
          <w:rFonts w:asciiTheme="majorHAnsi" w:hAnsiTheme="majorHAnsi" w:cstheme="majorHAnsi"/>
          <w:sz w:val="24"/>
          <w:szCs w:val="22"/>
        </w:rPr>
      </w:pPr>
    </w:p>
    <w:p w14:paraId="58D22561" w14:textId="77777777" w:rsidR="005E2C8E" w:rsidRPr="00F3311F" w:rsidRDefault="005E2C8E" w:rsidP="00D4710E">
      <w:pPr>
        <w:spacing w:line="276" w:lineRule="auto"/>
        <w:jc w:val="both"/>
        <w:rPr>
          <w:rFonts w:asciiTheme="majorHAnsi" w:hAnsiTheme="majorHAnsi" w:cstheme="majorHAnsi"/>
          <w:sz w:val="24"/>
          <w:szCs w:val="22"/>
        </w:rPr>
      </w:pPr>
    </w:p>
    <w:p w14:paraId="10F0D9B3" w14:textId="77777777" w:rsidR="005E2C8E" w:rsidRPr="00F3311F" w:rsidRDefault="005E2C8E" w:rsidP="00D4710E">
      <w:pPr>
        <w:spacing w:line="276" w:lineRule="auto"/>
        <w:jc w:val="both"/>
        <w:rPr>
          <w:rFonts w:asciiTheme="majorHAnsi" w:hAnsiTheme="majorHAnsi" w:cstheme="majorHAnsi"/>
          <w:sz w:val="24"/>
          <w:szCs w:val="22"/>
        </w:rPr>
      </w:pPr>
    </w:p>
    <w:p w14:paraId="02DC6B3E" w14:textId="77777777" w:rsidR="005E2C8E" w:rsidRPr="00F3311F" w:rsidRDefault="005E2C8E" w:rsidP="00D4710E">
      <w:pPr>
        <w:spacing w:line="276" w:lineRule="auto"/>
        <w:jc w:val="both"/>
        <w:rPr>
          <w:rFonts w:asciiTheme="majorHAnsi" w:hAnsiTheme="majorHAnsi" w:cstheme="majorHAnsi"/>
          <w:sz w:val="24"/>
          <w:szCs w:val="22"/>
        </w:rPr>
      </w:pPr>
    </w:p>
    <w:p w14:paraId="1B699810" w14:textId="77777777" w:rsidR="00F13F7F" w:rsidRPr="00F3311F" w:rsidRDefault="00F13F7F" w:rsidP="00D4710E">
      <w:pPr>
        <w:spacing w:line="276" w:lineRule="auto"/>
        <w:jc w:val="both"/>
        <w:rPr>
          <w:rFonts w:asciiTheme="majorHAnsi" w:hAnsiTheme="majorHAnsi" w:cstheme="majorHAnsi"/>
          <w:sz w:val="24"/>
          <w:szCs w:val="22"/>
        </w:rPr>
      </w:pPr>
    </w:p>
    <w:p w14:paraId="4E9A5245" w14:textId="14AC578F" w:rsidR="00F13F7F" w:rsidRPr="00F3311F" w:rsidRDefault="00F13F7F"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Por otro lado</w:t>
      </w:r>
      <w:r w:rsidR="006063E4" w:rsidRPr="00F3311F">
        <w:rPr>
          <w:rFonts w:asciiTheme="majorHAnsi" w:hAnsiTheme="majorHAnsi" w:cstheme="majorHAnsi"/>
          <w:sz w:val="24"/>
          <w:szCs w:val="22"/>
        </w:rPr>
        <w:t xml:space="preserve">, la </w:t>
      </w:r>
      <w:r w:rsidR="00F97180">
        <w:rPr>
          <w:rFonts w:asciiTheme="majorHAnsi" w:hAnsiTheme="majorHAnsi" w:cstheme="majorHAnsi"/>
          <w:sz w:val="24"/>
          <w:szCs w:val="22"/>
        </w:rPr>
        <w:t>UE</w:t>
      </w:r>
      <w:r w:rsidR="006063E4" w:rsidRPr="00F3311F">
        <w:rPr>
          <w:rFonts w:asciiTheme="majorHAnsi" w:hAnsiTheme="majorHAnsi" w:cstheme="majorHAnsi"/>
          <w:sz w:val="24"/>
          <w:szCs w:val="22"/>
        </w:rPr>
        <w:t xml:space="preserve"> afronta los desafíos con </w:t>
      </w:r>
      <w:r w:rsidRPr="00F3311F">
        <w:rPr>
          <w:rFonts w:asciiTheme="majorHAnsi" w:hAnsiTheme="majorHAnsi" w:cstheme="majorHAnsi"/>
          <w:sz w:val="24"/>
          <w:szCs w:val="22"/>
        </w:rPr>
        <w:t xml:space="preserve"> altos estándares </w:t>
      </w:r>
      <w:r w:rsidR="006063E4" w:rsidRPr="00F3311F">
        <w:rPr>
          <w:rFonts w:asciiTheme="majorHAnsi" w:hAnsiTheme="majorHAnsi" w:cstheme="majorHAnsi"/>
          <w:sz w:val="24"/>
          <w:szCs w:val="22"/>
        </w:rPr>
        <w:t>tanto s</w:t>
      </w:r>
      <w:r w:rsidR="00BF7D15" w:rsidRPr="00F3311F">
        <w:rPr>
          <w:rFonts w:asciiTheme="majorHAnsi" w:hAnsiTheme="majorHAnsi" w:cstheme="majorHAnsi"/>
          <w:sz w:val="24"/>
          <w:szCs w:val="22"/>
        </w:rPr>
        <w:t xml:space="preserve">anitarios como medioambientales </w:t>
      </w:r>
      <w:r w:rsidR="006063E4" w:rsidRPr="00F3311F">
        <w:rPr>
          <w:rFonts w:asciiTheme="majorHAnsi" w:hAnsiTheme="majorHAnsi" w:cstheme="majorHAnsi"/>
          <w:sz w:val="24"/>
          <w:szCs w:val="22"/>
        </w:rPr>
        <w:t xml:space="preserve"> pero esto supone precios de producción más altos.</w:t>
      </w:r>
    </w:p>
    <w:p w14:paraId="32A7C652" w14:textId="77777777" w:rsidR="00F97180" w:rsidRDefault="00F97180" w:rsidP="00D4710E">
      <w:pPr>
        <w:spacing w:line="276" w:lineRule="auto"/>
        <w:jc w:val="both"/>
        <w:rPr>
          <w:rFonts w:asciiTheme="majorHAnsi" w:hAnsiTheme="majorHAnsi" w:cstheme="majorHAnsi"/>
          <w:sz w:val="24"/>
          <w:szCs w:val="22"/>
        </w:rPr>
      </w:pPr>
    </w:p>
    <w:p w14:paraId="38CF11EF" w14:textId="42241B40" w:rsidR="007A4EDA" w:rsidRPr="00F3311F" w:rsidRDefault="00BF7D15"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Las tendencias y desafíos de la cadena alimentaria </w:t>
      </w:r>
      <w:r w:rsidR="007A4EDA" w:rsidRPr="00F3311F">
        <w:rPr>
          <w:rFonts w:asciiTheme="majorHAnsi" w:hAnsiTheme="majorHAnsi" w:cstheme="majorHAnsi"/>
          <w:sz w:val="24"/>
          <w:szCs w:val="22"/>
        </w:rPr>
        <w:t>l</w:t>
      </w:r>
      <w:r w:rsidRPr="00F3311F">
        <w:rPr>
          <w:rFonts w:asciiTheme="majorHAnsi" w:hAnsiTheme="majorHAnsi" w:cstheme="majorHAnsi"/>
          <w:sz w:val="24"/>
          <w:szCs w:val="22"/>
        </w:rPr>
        <w:t xml:space="preserve">os subdivide a su vez en dos </w:t>
      </w:r>
      <w:proofErr w:type="spellStart"/>
      <w:r w:rsidRPr="00F3311F">
        <w:rPr>
          <w:rFonts w:asciiTheme="majorHAnsi" w:hAnsiTheme="majorHAnsi" w:cstheme="majorHAnsi"/>
          <w:sz w:val="24"/>
          <w:szCs w:val="22"/>
        </w:rPr>
        <w:t>subapartados</w:t>
      </w:r>
      <w:proofErr w:type="spellEnd"/>
      <w:r w:rsidRPr="00F3311F">
        <w:rPr>
          <w:rFonts w:asciiTheme="majorHAnsi" w:hAnsiTheme="majorHAnsi" w:cstheme="majorHAnsi"/>
          <w:sz w:val="24"/>
          <w:szCs w:val="22"/>
        </w:rPr>
        <w:t xml:space="preserve">: </w:t>
      </w:r>
    </w:p>
    <w:p w14:paraId="5C263DF7" w14:textId="77777777" w:rsidR="007A4EDA" w:rsidRPr="00F3311F" w:rsidRDefault="007A4EDA" w:rsidP="00D4710E">
      <w:pPr>
        <w:spacing w:line="276" w:lineRule="auto"/>
        <w:jc w:val="both"/>
        <w:rPr>
          <w:rFonts w:asciiTheme="majorHAnsi" w:hAnsiTheme="majorHAnsi" w:cstheme="majorHAnsi"/>
          <w:sz w:val="24"/>
          <w:szCs w:val="22"/>
        </w:rPr>
      </w:pPr>
    </w:p>
    <w:p w14:paraId="72455CA5" w14:textId="7AEFCA06" w:rsidR="00BF7D15" w:rsidRPr="00F3311F" w:rsidRDefault="00BF7D15"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Desequilibrio de poder en la cadena agroalimentaria  y nuevas preferencias del consumidor. </w:t>
      </w:r>
    </w:p>
    <w:p w14:paraId="3B257D8F" w14:textId="1709CED0" w:rsidR="00BF7D15" w:rsidRPr="00F3311F" w:rsidRDefault="00BF7D15" w:rsidP="00D4710E">
      <w:pPr>
        <w:pStyle w:val="Prrafodelista"/>
        <w:numPr>
          <w:ilvl w:val="0"/>
          <w:numId w:val="2"/>
        </w:numPr>
        <w:spacing w:line="276" w:lineRule="auto"/>
        <w:jc w:val="both"/>
        <w:rPr>
          <w:rFonts w:asciiTheme="majorHAnsi" w:hAnsiTheme="majorHAnsi" w:cstheme="majorHAnsi"/>
          <w:sz w:val="24"/>
        </w:rPr>
      </w:pPr>
      <w:r w:rsidRPr="00F3311F">
        <w:rPr>
          <w:rFonts w:asciiTheme="majorHAnsi" w:hAnsiTheme="majorHAnsi" w:cstheme="majorHAnsi"/>
          <w:sz w:val="24"/>
          <w:lang w:val="es-ES_tradnl"/>
        </w:rPr>
        <w:t>Desequilibrio de poder en la cadena agroalimentaria</w:t>
      </w:r>
    </w:p>
    <w:p w14:paraId="6E4FCEF6" w14:textId="17CADA3E" w:rsidR="00BF7D15" w:rsidRPr="00F3311F" w:rsidRDefault="00BF7D15" w:rsidP="00D4710E">
      <w:pPr>
        <w:pStyle w:val="Prrafodelista"/>
        <w:spacing w:line="276" w:lineRule="auto"/>
        <w:jc w:val="both"/>
        <w:rPr>
          <w:rFonts w:asciiTheme="majorHAnsi" w:hAnsiTheme="majorHAnsi" w:cstheme="majorHAnsi"/>
          <w:sz w:val="24"/>
          <w:lang w:val="es-ES_tradnl"/>
        </w:rPr>
      </w:pPr>
      <w:r w:rsidRPr="00F3311F">
        <w:rPr>
          <w:rFonts w:asciiTheme="majorHAnsi" w:hAnsiTheme="majorHAnsi" w:cstheme="majorHAnsi"/>
          <w:sz w:val="24"/>
          <w:lang w:val="es-ES_tradnl"/>
        </w:rPr>
        <w:t xml:space="preserve">Remarca los desequilibrios que existen en la cadena alimentaria haciendo hincapié en la falta de integración vertical del sector primario y la </w:t>
      </w:r>
      <w:r w:rsidR="009C0EF3" w:rsidRPr="00F3311F">
        <w:rPr>
          <w:rFonts w:asciiTheme="majorHAnsi" w:hAnsiTheme="majorHAnsi" w:cstheme="majorHAnsi"/>
          <w:sz w:val="24"/>
          <w:lang w:val="es-ES_tradnl"/>
        </w:rPr>
        <w:t xml:space="preserve">transmisión </w:t>
      </w:r>
      <w:r w:rsidRPr="00F3311F">
        <w:rPr>
          <w:rFonts w:asciiTheme="majorHAnsi" w:hAnsiTheme="majorHAnsi" w:cstheme="majorHAnsi"/>
          <w:sz w:val="24"/>
          <w:lang w:val="es-ES_tradnl"/>
        </w:rPr>
        <w:t>asimétrica del precio</w:t>
      </w:r>
      <w:r w:rsidR="009C0EF3" w:rsidRPr="00F3311F">
        <w:rPr>
          <w:rFonts w:asciiTheme="majorHAnsi" w:hAnsiTheme="majorHAnsi" w:cstheme="majorHAnsi"/>
          <w:sz w:val="24"/>
          <w:lang w:val="es-ES_tradnl"/>
        </w:rPr>
        <w:t xml:space="preserve"> en cadena alimentaria. Hace una exposición del sistema alimentario europeo con una alta concentración en la industria y la distribución. </w:t>
      </w:r>
      <w:r w:rsidRPr="00F3311F">
        <w:rPr>
          <w:rFonts w:asciiTheme="majorHAnsi" w:hAnsiTheme="majorHAnsi" w:cstheme="majorHAnsi"/>
          <w:sz w:val="24"/>
          <w:lang w:val="es-ES_tradnl"/>
        </w:rPr>
        <w:t xml:space="preserve"> </w:t>
      </w:r>
      <w:r w:rsidR="00A811F6" w:rsidRPr="00F3311F">
        <w:rPr>
          <w:rFonts w:asciiTheme="majorHAnsi" w:hAnsiTheme="majorHAnsi" w:cstheme="majorHAnsi"/>
          <w:sz w:val="24"/>
          <w:lang w:val="es-ES_tradnl"/>
        </w:rPr>
        <w:t xml:space="preserve">Aunque la </w:t>
      </w:r>
      <w:r w:rsidR="00EF317B" w:rsidRPr="00F3311F">
        <w:rPr>
          <w:rFonts w:asciiTheme="majorHAnsi" w:hAnsiTheme="majorHAnsi" w:cstheme="majorHAnsi"/>
          <w:sz w:val="24"/>
          <w:lang w:val="es-ES_tradnl"/>
        </w:rPr>
        <w:t>cooperación</w:t>
      </w:r>
      <w:r w:rsidR="00A811F6" w:rsidRPr="00F3311F">
        <w:rPr>
          <w:rFonts w:asciiTheme="majorHAnsi" w:hAnsiTheme="majorHAnsi" w:cstheme="majorHAnsi"/>
          <w:sz w:val="24"/>
          <w:lang w:val="es-ES_tradnl"/>
        </w:rPr>
        <w:t xml:space="preserve"> entre productores protegería mejor sus intereses exi</w:t>
      </w:r>
      <w:r w:rsidR="00EF317B" w:rsidRPr="00F3311F">
        <w:rPr>
          <w:rFonts w:asciiTheme="majorHAnsi" w:hAnsiTheme="majorHAnsi" w:cstheme="majorHAnsi"/>
          <w:sz w:val="24"/>
          <w:lang w:val="es-ES_tradnl"/>
        </w:rPr>
        <w:t>sten barreras a las mismas.</w:t>
      </w:r>
    </w:p>
    <w:p w14:paraId="692C0D2D" w14:textId="284D421A" w:rsidR="00936B88" w:rsidRPr="00F3311F" w:rsidRDefault="00936B8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 xml:space="preserve">Dentro de </w:t>
      </w:r>
      <w:proofErr w:type="spellStart"/>
      <w:r w:rsidR="00DD3974">
        <w:rPr>
          <w:rFonts w:asciiTheme="majorHAnsi" w:hAnsiTheme="majorHAnsi" w:cstheme="majorHAnsi"/>
          <w:sz w:val="24"/>
        </w:rPr>
        <w:t>B</w:t>
      </w:r>
      <w:r w:rsidRPr="00F3311F">
        <w:rPr>
          <w:rFonts w:asciiTheme="majorHAnsi" w:hAnsiTheme="majorHAnsi" w:cstheme="majorHAnsi"/>
          <w:sz w:val="24"/>
        </w:rPr>
        <w:t>riefing</w:t>
      </w:r>
      <w:proofErr w:type="spellEnd"/>
      <w:r w:rsidRPr="00F3311F">
        <w:rPr>
          <w:rFonts w:asciiTheme="majorHAnsi" w:hAnsiTheme="majorHAnsi" w:cstheme="majorHAnsi"/>
          <w:sz w:val="24"/>
        </w:rPr>
        <w:t xml:space="preserve"> se señalan las importantes diferencias que existen a lo largo de la UE en la participación en diferentes entidades asociativas como cooperativas </w:t>
      </w:r>
      <w:r w:rsidRPr="00F3311F">
        <w:rPr>
          <w:rFonts w:asciiTheme="majorHAnsi" w:hAnsiTheme="majorHAnsi" w:cstheme="majorHAnsi"/>
          <w:sz w:val="24"/>
        </w:rPr>
        <w:lastRenderedPageBreak/>
        <w:t xml:space="preserve">y organizaciones de productores incluso en el sector de frutas y hortalizas donde </w:t>
      </w:r>
      <w:r w:rsidR="00A32422">
        <w:rPr>
          <w:rFonts w:asciiTheme="majorHAnsi" w:hAnsiTheme="majorHAnsi" w:cstheme="majorHAnsi"/>
          <w:sz w:val="24"/>
        </w:rPr>
        <w:t>solo sola la mitad del valor de</w:t>
      </w:r>
      <w:r w:rsidRPr="00F3311F">
        <w:rPr>
          <w:rFonts w:asciiTheme="majorHAnsi" w:hAnsiTheme="majorHAnsi" w:cstheme="majorHAnsi"/>
          <w:sz w:val="24"/>
        </w:rPr>
        <w:t xml:space="preserve"> mercado se condujo a través de las </w:t>
      </w:r>
      <w:proofErr w:type="spellStart"/>
      <w:r w:rsidRPr="00F3311F">
        <w:rPr>
          <w:rFonts w:asciiTheme="majorHAnsi" w:hAnsiTheme="majorHAnsi" w:cstheme="majorHAnsi"/>
          <w:sz w:val="24"/>
        </w:rPr>
        <w:t>OPs</w:t>
      </w:r>
      <w:proofErr w:type="spellEnd"/>
      <w:r w:rsidR="00A32422">
        <w:rPr>
          <w:rFonts w:asciiTheme="majorHAnsi" w:hAnsiTheme="majorHAnsi" w:cstheme="majorHAnsi"/>
          <w:sz w:val="24"/>
        </w:rPr>
        <w:t>.</w:t>
      </w:r>
    </w:p>
    <w:p w14:paraId="5A026AA9" w14:textId="77777777" w:rsidR="00936B88" w:rsidRPr="00F3311F" w:rsidRDefault="00936B8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noProof/>
          <w:sz w:val="24"/>
          <w:lang w:eastAsia="es-ES"/>
        </w:rPr>
        <mc:AlternateContent>
          <mc:Choice Requires="wps">
            <w:drawing>
              <wp:anchor distT="45720" distB="45720" distL="114300" distR="114300" simplePos="0" relativeHeight="251667456" behindDoc="0" locked="0" layoutInCell="1" allowOverlap="1" wp14:anchorId="29C2C424" wp14:editId="2FEB5E63">
                <wp:simplePos x="0" y="0"/>
                <wp:positionH relativeFrom="column">
                  <wp:posOffset>474980</wp:posOffset>
                </wp:positionH>
                <wp:positionV relativeFrom="paragraph">
                  <wp:posOffset>747395</wp:posOffset>
                </wp:positionV>
                <wp:extent cx="4992370" cy="2395855"/>
                <wp:effectExtent l="0" t="0" r="17780" b="2349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2395855"/>
                        </a:xfrm>
                        <a:prstGeom prst="rect">
                          <a:avLst/>
                        </a:prstGeom>
                        <a:solidFill>
                          <a:srgbClr val="FFFFFF"/>
                        </a:solidFill>
                        <a:ln w="9525">
                          <a:solidFill>
                            <a:srgbClr val="000000"/>
                          </a:solidFill>
                          <a:miter lim="800000"/>
                          <a:headEnd/>
                          <a:tailEnd/>
                        </a:ln>
                      </wps:spPr>
                      <wps:txbx>
                        <w:txbxContent>
                          <w:p w14:paraId="1E9855E8" w14:textId="77777777" w:rsidR="00BC04DA" w:rsidRDefault="00BC04DA" w:rsidP="00936B88">
                            <w:r>
                              <w:rPr>
                                <w:noProof/>
                                <w:lang w:val="es-ES"/>
                              </w:rPr>
                              <w:drawing>
                                <wp:inline distT="0" distB="0" distL="0" distR="0" wp14:anchorId="70CF40BB" wp14:editId="59F32803">
                                  <wp:extent cx="4618721" cy="25380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07" t="11921" r="22460" b="18877"/>
                                          <a:stretch/>
                                        </pic:blipFill>
                                        <pic:spPr bwMode="auto">
                                          <a:xfrm>
                                            <a:off x="0" y="0"/>
                                            <a:ext cx="4648563" cy="25544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2C424" id="_x0000_s1028" type="#_x0000_t202" style="position:absolute;left:0;text-align:left;margin-left:37.4pt;margin-top:58.85pt;width:393.1pt;height:188.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">
                <v:textbox>
                  <w:txbxContent>
                    <w:p w14:paraId="1E9855E8" w14:textId="77777777" w:rsidR="00BC04DA" w:rsidRDefault="00BC04DA" w:rsidP="00936B88">
                      <w:r>
                        <w:rPr>
                          <w:noProof/>
                          <w:lang w:val="es-ES"/>
                        </w:rPr>
                        <w:drawing>
                          <wp:inline distT="0" distB="0" distL="0" distR="0" wp14:anchorId="70CF40BB" wp14:editId="59F32803">
                            <wp:extent cx="4618721" cy="25380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07" t="11921" r="22460" b="18877"/>
                                    <a:stretch/>
                                  </pic:blipFill>
                                  <pic:spPr bwMode="auto">
                                    <a:xfrm>
                                      <a:off x="0" y="0"/>
                                      <a:ext cx="4648563" cy="25544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F3311F">
        <w:rPr>
          <w:rFonts w:asciiTheme="majorHAnsi" w:hAnsiTheme="majorHAnsi" w:cstheme="majorHAnsi"/>
          <w:sz w:val="24"/>
        </w:rPr>
        <w:t xml:space="preserve">En el caso de las cooperativas existen diferencias muy sustanciales entre países con valores entre los que destaca el 83% de Holanda, 79% de Finlandia, 55% de Italia y 50% de Francia. Las diferencias también existen entre productos  siendo el  más organizado el sector lácteo, mientras que en sector porcino o azucarero apenas alcanzan el 25%. </w:t>
      </w:r>
    </w:p>
    <w:p w14:paraId="1D994487" w14:textId="77777777" w:rsidR="00936B88" w:rsidRPr="00F3311F" w:rsidRDefault="00936B88" w:rsidP="00D4710E">
      <w:pPr>
        <w:pStyle w:val="Prrafodelista"/>
        <w:spacing w:line="276" w:lineRule="auto"/>
        <w:jc w:val="both"/>
        <w:rPr>
          <w:rFonts w:asciiTheme="majorHAnsi" w:hAnsiTheme="majorHAnsi" w:cstheme="majorHAnsi"/>
          <w:sz w:val="24"/>
        </w:rPr>
      </w:pPr>
    </w:p>
    <w:p w14:paraId="1680F059" w14:textId="4370D4B0" w:rsidR="00936B88" w:rsidRPr="00F3311F" w:rsidRDefault="007A4EDA"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También</w:t>
      </w:r>
      <w:r w:rsidR="00936B88" w:rsidRPr="00F3311F">
        <w:rPr>
          <w:rFonts w:asciiTheme="majorHAnsi" w:hAnsiTheme="majorHAnsi" w:cstheme="majorHAnsi"/>
          <w:sz w:val="24"/>
        </w:rPr>
        <w:t xml:space="preserve"> se trata el incremento del  índice de empresas relacionadas con la agricultura frente al descenso ligero del valor añadido </w:t>
      </w:r>
      <w:r w:rsidR="002E70E5" w:rsidRPr="00F3311F">
        <w:rPr>
          <w:rFonts w:asciiTheme="majorHAnsi" w:hAnsiTheme="majorHAnsi" w:cstheme="majorHAnsi"/>
          <w:sz w:val="24"/>
        </w:rPr>
        <w:t>(por</w:t>
      </w:r>
      <w:r w:rsidR="00936B88" w:rsidRPr="00F3311F">
        <w:rPr>
          <w:rFonts w:asciiTheme="majorHAnsi" w:hAnsiTheme="majorHAnsi" w:cstheme="majorHAnsi"/>
          <w:sz w:val="24"/>
        </w:rPr>
        <w:t xml:space="preserve"> debajo del 25%). Estos repartos del valor añadido van de 61% en Rumania hasta el 9% en Luxemburgo</w:t>
      </w:r>
      <w:r w:rsidR="00A32422">
        <w:rPr>
          <w:rFonts w:asciiTheme="majorHAnsi" w:hAnsiTheme="majorHAnsi" w:cstheme="majorHAnsi"/>
          <w:sz w:val="24"/>
        </w:rPr>
        <w:t>.</w:t>
      </w:r>
    </w:p>
    <w:p w14:paraId="0F7ACB89" w14:textId="77777777" w:rsidR="00936B88" w:rsidRPr="00F3311F" w:rsidRDefault="00936B88" w:rsidP="00D4710E">
      <w:pPr>
        <w:pStyle w:val="Prrafodelista"/>
        <w:spacing w:line="276" w:lineRule="auto"/>
        <w:jc w:val="both"/>
        <w:rPr>
          <w:rFonts w:asciiTheme="majorHAnsi" w:hAnsiTheme="majorHAnsi" w:cstheme="majorHAnsi"/>
          <w:sz w:val="24"/>
        </w:rPr>
      </w:pPr>
    </w:p>
    <w:p w14:paraId="28D9F892" w14:textId="0F779D6D" w:rsidR="00936B88" w:rsidRPr="00F3311F" w:rsidRDefault="00936B8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noProof/>
          <w:sz w:val="24"/>
          <w:lang w:eastAsia="es-ES"/>
        </w:rPr>
        <mc:AlternateContent>
          <mc:Choice Requires="wps">
            <w:drawing>
              <wp:anchor distT="45720" distB="45720" distL="114300" distR="114300" simplePos="0" relativeHeight="251669504" behindDoc="0" locked="0" layoutInCell="1" allowOverlap="1" wp14:anchorId="0A561973" wp14:editId="0667BAB4">
                <wp:simplePos x="0" y="0"/>
                <wp:positionH relativeFrom="column">
                  <wp:posOffset>568325</wp:posOffset>
                </wp:positionH>
                <wp:positionV relativeFrom="paragraph">
                  <wp:posOffset>1270</wp:posOffset>
                </wp:positionV>
                <wp:extent cx="4858385" cy="2669540"/>
                <wp:effectExtent l="0" t="0" r="18415" b="165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2669540"/>
                        </a:xfrm>
                        <a:prstGeom prst="rect">
                          <a:avLst/>
                        </a:prstGeom>
                        <a:solidFill>
                          <a:srgbClr val="FFFFFF"/>
                        </a:solidFill>
                        <a:ln w="9525">
                          <a:solidFill>
                            <a:srgbClr val="000000"/>
                          </a:solidFill>
                          <a:miter lim="800000"/>
                          <a:headEnd/>
                          <a:tailEnd/>
                        </a:ln>
                      </wps:spPr>
                      <wps:txbx>
                        <w:txbxContent>
                          <w:p w14:paraId="0AB3E5E5" w14:textId="6AC795F0" w:rsidR="00BC04DA" w:rsidRDefault="00BC04DA">
                            <w:r>
                              <w:rPr>
                                <w:noProof/>
                                <w:lang w:val="es-ES"/>
                              </w:rPr>
                              <w:drawing>
                                <wp:inline distT="0" distB="0" distL="0" distR="0" wp14:anchorId="05D00F2D" wp14:editId="113A0372">
                                  <wp:extent cx="4718838" cy="2722490"/>
                                  <wp:effectExtent l="0" t="0" r="571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25" t="23900" r="26621" b="11631"/>
                                          <a:stretch/>
                                        </pic:blipFill>
                                        <pic:spPr bwMode="auto">
                                          <a:xfrm>
                                            <a:off x="0" y="0"/>
                                            <a:ext cx="4735876" cy="273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61973" id="_x0000_s1029" type="#_x0000_t202" style="position:absolute;left:0;text-align:left;margin-left:44.75pt;margin-top:.1pt;width:382.55pt;height:21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">
                <v:textbox>
                  <w:txbxContent>
                    <w:p w14:paraId="0AB3E5E5" w14:textId="6AC795F0" w:rsidR="00BC04DA" w:rsidRDefault="00BC04DA">
                      <w:r>
                        <w:rPr>
                          <w:noProof/>
                          <w:lang w:val="es-ES"/>
                        </w:rPr>
                        <w:drawing>
                          <wp:inline distT="0" distB="0" distL="0" distR="0" wp14:anchorId="05D00F2D" wp14:editId="113A0372">
                            <wp:extent cx="4718838" cy="2722490"/>
                            <wp:effectExtent l="0" t="0" r="571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25" t="23900" r="26621" b="11631"/>
                                    <a:stretch/>
                                  </pic:blipFill>
                                  <pic:spPr bwMode="auto">
                                    <a:xfrm>
                                      <a:off x="0" y="0"/>
                                      <a:ext cx="4735876" cy="27323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1275210" w14:textId="5EDAEB09" w:rsidR="00BF7D15" w:rsidRPr="00F3311F" w:rsidRDefault="00BF7D15" w:rsidP="00D4710E">
      <w:pPr>
        <w:pStyle w:val="Prrafodelista"/>
        <w:numPr>
          <w:ilvl w:val="0"/>
          <w:numId w:val="2"/>
        </w:numPr>
        <w:spacing w:line="276" w:lineRule="auto"/>
        <w:jc w:val="both"/>
        <w:rPr>
          <w:rFonts w:asciiTheme="majorHAnsi" w:hAnsiTheme="majorHAnsi" w:cstheme="majorHAnsi"/>
          <w:sz w:val="24"/>
        </w:rPr>
      </w:pPr>
      <w:r w:rsidRPr="00F3311F">
        <w:rPr>
          <w:rFonts w:asciiTheme="majorHAnsi" w:hAnsiTheme="majorHAnsi" w:cstheme="majorHAnsi"/>
          <w:sz w:val="24"/>
        </w:rPr>
        <w:lastRenderedPageBreak/>
        <w:t>Nuevas preferencias del consumidor</w:t>
      </w:r>
    </w:p>
    <w:p w14:paraId="63C4D89E" w14:textId="00C5CD29" w:rsidR="00201935" w:rsidRPr="00F3311F" w:rsidRDefault="00201935"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 xml:space="preserve">La agricultura es un importante contribuidor a la seguridad alimentaria con productos de calidad y con una oferta adecuada. La orientación al mercado europeo permite responder a las demandas cambiantes del consumidor. Para afrontar nuevos desafíos como el sobrepeso y la obesidad requiere nuevos enfoques y cooperación en toda la cadena </w:t>
      </w:r>
      <w:r w:rsidR="00915085" w:rsidRPr="00F3311F">
        <w:rPr>
          <w:rFonts w:asciiTheme="majorHAnsi" w:hAnsiTheme="majorHAnsi" w:cstheme="majorHAnsi"/>
          <w:sz w:val="24"/>
        </w:rPr>
        <w:t>alimentaria.</w:t>
      </w:r>
    </w:p>
    <w:p w14:paraId="3BC8C111" w14:textId="69C10A51" w:rsidR="00915085" w:rsidRPr="00F3311F" w:rsidRDefault="00915085"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La UE busca alimentos no solo sabrosos y asequibles sino también de alta calidad, saludables, climática y medioambientalmente sostenibles, que responda a las preocupaciones éticas como el bienestar animal y/ contribuyan a las economías locales.</w:t>
      </w:r>
    </w:p>
    <w:p w14:paraId="381E841A" w14:textId="77777777" w:rsidR="00BF7D15" w:rsidRPr="00F3311F" w:rsidRDefault="00BF7D15" w:rsidP="00D4710E">
      <w:pPr>
        <w:spacing w:line="276" w:lineRule="auto"/>
        <w:jc w:val="both"/>
        <w:rPr>
          <w:rFonts w:asciiTheme="majorHAnsi" w:hAnsiTheme="majorHAnsi" w:cstheme="majorHAnsi"/>
          <w:sz w:val="22"/>
        </w:rPr>
      </w:pPr>
    </w:p>
    <w:p w14:paraId="27819AAB" w14:textId="132A35F1" w:rsidR="006063E4" w:rsidRPr="00F3311F" w:rsidRDefault="00FB4E69" w:rsidP="00D4710E">
      <w:pPr>
        <w:spacing w:line="276" w:lineRule="auto"/>
        <w:jc w:val="both"/>
        <w:rPr>
          <w:rFonts w:asciiTheme="majorHAnsi" w:hAnsiTheme="majorHAnsi" w:cstheme="majorHAnsi"/>
          <w:sz w:val="24"/>
          <w:szCs w:val="22"/>
        </w:rPr>
      </w:pPr>
      <w:r w:rsidRPr="00F3311F">
        <w:rPr>
          <w:rFonts w:asciiTheme="majorHAnsi" w:hAnsiTheme="majorHAnsi" w:cstheme="majorHAnsi"/>
          <w:sz w:val="24"/>
          <w:szCs w:val="22"/>
        </w:rPr>
        <w:t>“</w:t>
      </w:r>
      <w:r w:rsidRPr="00F3311F">
        <w:rPr>
          <w:rFonts w:asciiTheme="majorHAnsi" w:hAnsiTheme="majorHAnsi" w:cstheme="majorHAnsi"/>
          <w:b/>
          <w:sz w:val="24"/>
          <w:szCs w:val="22"/>
        </w:rPr>
        <w:t>Afrontar los Desafíos</w:t>
      </w:r>
      <w:r w:rsidRPr="00F3311F">
        <w:rPr>
          <w:rFonts w:asciiTheme="majorHAnsi" w:hAnsiTheme="majorHAnsi" w:cstheme="majorHAnsi"/>
          <w:sz w:val="24"/>
          <w:szCs w:val="22"/>
        </w:rPr>
        <w:t>”</w:t>
      </w:r>
    </w:p>
    <w:p w14:paraId="3868E468" w14:textId="77777777" w:rsidR="00C02CA6" w:rsidRPr="00F3311F" w:rsidRDefault="00C02CA6" w:rsidP="00D4710E">
      <w:pPr>
        <w:spacing w:line="276" w:lineRule="auto"/>
        <w:jc w:val="both"/>
        <w:rPr>
          <w:rFonts w:asciiTheme="majorHAnsi" w:hAnsiTheme="majorHAnsi" w:cstheme="majorHAnsi"/>
          <w:sz w:val="24"/>
          <w:szCs w:val="22"/>
        </w:rPr>
      </w:pPr>
    </w:p>
    <w:p w14:paraId="55641087" w14:textId="789BFB6E" w:rsidR="00FB4E69" w:rsidRPr="00F3311F" w:rsidRDefault="003570A7" w:rsidP="000033C1">
      <w:pPr>
        <w:pStyle w:val="Prrafodelista"/>
        <w:numPr>
          <w:ilvl w:val="0"/>
          <w:numId w:val="3"/>
        </w:numPr>
        <w:spacing w:line="276" w:lineRule="auto"/>
        <w:jc w:val="both"/>
        <w:rPr>
          <w:rFonts w:asciiTheme="majorHAnsi" w:hAnsiTheme="majorHAnsi" w:cstheme="majorHAnsi"/>
          <w:sz w:val="24"/>
          <w:u w:val="single"/>
        </w:rPr>
      </w:pPr>
      <w:r w:rsidRPr="00F3311F">
        <w:rPr>
          <w:rFonts w:asciiTheme="majorHAnsi" w:hAnsiTheme="majorHAnsi" w:cstheme="majorHAnsi"/>
          <w:sz w:val="24"/>
          <w:u w:val="single"/>
        </w:rPr>
        <w:t>Fortalecer</w:t>
      </w:r>
      <w:r w:rsidR="00C02CA6" w:rsidRPr="00F3311F">
        <w:rPr>
          <w:rFonts w:asciiTheme="majorHAnsi" w:hAnsiTheme="majorHAnsi" w:cstheme="majorHAnsi"/>
          <w:sz w:val="24"/>
          <w:u w:val="single"/>
        </w:rPr>
        <w:t xml:space="preserve"> la cooperación entre agricultores</w:t>
      </w:r>
    </w:p>
    <w:p w14:paraId="13099164" w14:textId="07B80953" w:rsidR="003570A7" w:rsidRPr="00F3311F" w:rsidRDefault="003570A7" w:rsidP="00F97180">
      <w:pPr>
        <w:pStyle w:val="Prrafodelista"/>
        <w:spacing w:line="276" w:lineRule="auto"/>
        <w:ind w:left="284"/>
        <w:jc w:val="both"/>
        <w:rPr>
          <w:rFonts w:asciiTheme="majorHAnsi" w:hAnsiTheme="majorHAnsi" w:cstheme="majorHAnsi"/>
          <w:sz w:val="24"/>
        </w:rPr>
      </w:pPr>
      <w:r w:rsidRPr="00F3311F">
        <w:rPr>
          <w:rFonts w:asciiTheme="majorHAnsi" w:hAnsiTheme="majorHAnsi" w:cstheme="majorHAnsi"/>
          <w:sz w:val="24"/>
        </w:rPr>
        <w:t xml:space="preserve">La </w:t>
      </w:r>
      <w:r w:rsidR="00F97180">
        <w:rPr>
          <w:rFonts w:asciiTheme="majorHAnsi" w:hAnsiTheme="majorHAnsi" w:cstheme="majorHAnsi"/>
          <w:sz w:val="24"/>
        </w:rPr>
        <w:t>PAC</w:t>
      </w:r>
      <w:r w:rsidRPr="00F3311F">
        <w:rPr>
          <w:rFonts w:asciiTheme="majorHAnsi" w:hAnsiTheme="majorHAnsi" w:cstheme="majorHAnsi"/>
          <w:sz w:val="24"/>
        </w:rPr>
        <w:t xml:space="preserve"> ha puesto especial interés en mejorar la cadena de valor fortaleciendo la cooperación entre productores</w:t>
      </w:r>
      <w:r w:rsidR="00B71ED0" w:rsidRPr="00F3311F">
        <w:rPr>
          <w:rFonts w:asciiTheme="majorHAnsi" w:hAnsiTheme="majorHAnsi" w:cstheme="majorHAnsi"/>
          <w:sz w:val="24"/>
        </w:rPr>
        <w:t xml:space="preserve">. El marco financiero  para </w:t>
      </w:r>
      <w:proofErr w:type="spellStart"/>
      <w:r w:rsidR="00B71ED0" w:rsidRPr="00F3311F">
        <w:rPr>
          <w:rFonts w:asciiTheme="majorHAnsi" w:hAnsiTheme="majorHAnsi" w:cstheme="majorHAnsi"/>
          <w:sz w:val="24"/>
        </w:rPr>
        <w:t>O</w:t>
      </w:r>
      <w:r w:rsidR="00F97180">
        <w:rPr>
          <w:rFonts w:asciiTheme="majorHAnsi" w:hAnsiTheme="majorHAnsi" w:cstheme="majorHAnsi"/>
          <w:sz w:val="24"/>
        </w:rPr>
        <w:t>P</w:t>
      </w:r>
      <w:r w:rsidR="00B71ED0" w:rsidRPr="00F3311F">
        <w:rPr>
          <w:rFonts w:asciiTheme="majorHAnsi" w:hAnsiTheme="majorHAnsi" w:cstheme="majorHAnsi"/>
          <w:sz w:val="24"/>
        </w:rPr>
        <w:t>s</w:t>
      </w:r>
      <w:proofErr w:type="spellEnd"/>
      <w:r w:rsidR="00B71ED0" w:rsidRPr="00F3311F">
        <w:rPr>
          <w:rFonts w:asciiTheme="majorHAnsi" w:hAnsiTheme="majorHAnsi" w:cstheme="majorHAnsi"/>
          <w:sz w:val="24"/>
        </w:rPr>
        <w:t xml:space="preserve"> y </w:t>
      </w:r>
      <w:proofErr w:type="spellStart"/>
      <w:r w:rsidR="00B71ED0" w:rsidRPr="00F3311F">
        <w:rPr>
          <w:rFonts w:asciiTheme="majorHAnsi" w:hAnsiTheme="majorHAnsi" w:cstheme="majorHAnsi"/>
          <w:sz w:val="24"/>
        </w:rPr>
        <w:t>AOPs</w:t>
      </w:r>
      <w:proofErr w:type="spellEnd"/>
      <w:r w:rsidR="00B71ED0" w:rsidRPr="00F3311F">
        <w:rPr>
          <w:rFonts w:asciiTheme="majorHAnsi" w:hAnsiTheme="majorHAnsi" w:cstheme="majorHAnsi"/>
          <w:sz w:val="24"/>
        </w:rPr>
        <w:t xml:space="preserve"> complementa el apoyo financiero para iniciar dichos grupos y mecanismos que apoyen cadenas de valor corta. Con estas medidas la UE pretende  fortalecer el poder de negociación de los agricultores y su capacidad de cooperación cumpliendo los criterios de competencia.</w:t>
      </w:r>
    </w:p>
    <w:p w14:paraId="326B0473" w14:textId="12751B70" w:rsidR="00B71ED0" w:rsidRPr="00F3311F" w:rsidRDefault="00B71ED0" w:rsidP="00F97180">
      <w:pPr>
        <w:pStyle w:val="Prrafodelista"/>
        <w:spacing w:line="276" w:lineRule="auto"/>
        <w:ind w:left="284"/>
        <w:jc w:val="both"/>
        <w:rPr>
          <w:rFonts w:asciiTheme="majorHAnsi" w:hAnsiTheme="majorHAnsi" w:cstheme="majorHAnsi"/>
          <w:sz w:val="24"/>
        </w:rPr>
      </w:pPr>
      <w:r w:rsidRPr="00F3311F">
        <w:rPr>
          <w:rFonts w:asciiTheme="majorHAnsi" w:hAnsiTheme="majorHAnsi" w:cstheme="majorHAnsi"/>
          <w:sz w:val="24"/>
        </w:rPr>
        <w:t>La propuesta de PAC post 2020 mantiene los programas sectoriales pero los adapta a la nueva programación y objetivos, incluyendo por ejemplo el aumento del consumo de frutas y hortalizas como un objetivo adicional explicito para el esquema sectorial.</w:t>
      </w:r>
    </w:p>
    <w:p w14:paraId="5757271E" w14:textId="77777777" w:rsidR="00C02CA6" w:rsidRPr="00F3311F" w:rsidRDefault="00C02CA6" w:rsidP="00D4710E">
      <w:pPr>
        <w:spacing w:line="276" w:lineRule="auto"/>
        <w:ind w:left="720"/>
        <w:jc w:val="both"/>
        <w:rPr>
          <w:rFonts w:asciiTheme="majorHAnsi" w:hAnsiTheme="majorHAnsi" w:cstheme="majorHAnsi"/>
          <w:sz w:val="24"/>
          <w:szCs w:val="22"/>
          <w:lang w:val="es-ES"/>
        </w:rPr>
      </w:pPr>
    </w:p>
    <w:p w14:paraId="0E416E7C" w14:textId="2E8C4C48" w:rsidR="00C02CA6" w:rsidRPr="00F3311F" w:rsidRDefault="00C02CA6" w:rsidP="000033C1">
      <w:pPr>
        <w:pStyle w:val="Prrafodelista"/>
        <w:numPr>
          <w:ilvl w:val="0"/>
          <w:numId w:val="3"/>
        </w:numPr>
        <w:spacing w:line="276" w:lineRule="auto"/>
        <w:jc w:val="both"/>
        <w:rPr>
          <w:rFonts w:asciiTheme="majorHAnsi" w:hAnsiTheme="majorHAnsi" w:cstheme="majorHAnsi"/>
          <w:sz w:val="24"/>
          <w:u w:val="single"/>
        </w:rPr>
      </w:pPr>
      <w:r w:rsidRPr="00F3311F">
        <w:rPr>
          <w:rFonts w:asciiTheme="majorHAnsi" w:hAnsiTheme="majorHAnsi" w:cstheme="majorHAnsi"/>
          <w:sz w:val="24"/>
          <w:u w:val="single"/>
        </w:rPr>
        <w:t>Fortalecer las sinergias  entre cadenas de valor</w:t>
      </w:r>
    </w:p>
    <w:p w14:paraId="0D1467E0" w14:textId="3482BD02" w:rsidR="005D24D5" w:rsidRPr="00F3311F" w:rsidRDefault="005D24D5" w:rsidP="00D4710E">
      <w:pPr>
        <w:spacing w:line="276" w:lineRule="auto"/>
        <w:ind w:left="360"/>
        <w:jc w:val="both"/>
        <w:rPr>
          <w:rFonts w:asciiTheme="majorHAnsi" w:eastAsiaTheme="minorHAnsi" w:hAnsiTheme="majorHAnsi" w:cstheme="majorHAnsi"/>
          <w:sz w:val="24"/>
          <w:szCs w:val="22"/>
          <w:lang w:val="es-ES" w:eastAsia="en-US"/>
        </w:rPr>
      </w:pPr>
      <w:r w:rsidRPr="00F3311F">
        <w:rPr>
          <w:rFonts w:asciiTheme="majorHAnsi" w:eastAsiaTheme="minorHAnsi" w:hAnsiTheme="majorHAnsi" w:cstheme="majorHAnsi"/>
          <w:sz w:val="24"/>
          <w:szCs w:val="22"/>
          <w:lang w:val="es-ES" w:eastAsia="en-US"/>
        </w:rPr>
        <w:t xml:space="preserve">Para garantizar una cadena de suministro de alimentos que funcione correctamente y sea competitiva y para responder a las solicitudes de otras instituciones de la UE y de la sociedad civil, la Comisión propuso en abril de 2018 una </w:t>
      </w:r>
      <w:r w:rsidRPr="00F97180">
        <w:rPr>
          <w:rFonts w:asciiTheme="majorHAnsi" w:eastAsiaTheme="minorHAnsi" w:hAnsiTheme="majorHAnsi" w:cstheme="majorHAnsi"/>
          <w:b/>
          <w:sz w:val="24"/>
          <w:szCs w:val="22"/>
          <w:lang w:val="es-ES" w:eastAsia="en-US"/>
        </w:rPr>
        <w:t xml:space="preserve">Directiva sobre prácticas comerciales desleales </w:t>
      </w:r>
      <w:r w:rsidR="00F97180" w:rsidRPr="00F97180">
        <w:rPr>
          <w:rFonts w:asciiTheme="majorHAnsi" w:eastAsiaTheme="minorHAnsi" w:hAnsiTheme="majorHAnsi" w:cstheme="majorHAnsi"/>
          <w:b/>
          <w:sz w:val="24"/>
          <w:szCs w:val="22"/>
          <w:lang w:val="es-ES" w:eastAsia="en-US"/>
        </w:rPr>
        <w:t>(</w:t>
      </w:r>
      <w:proofErr w:type="spellStart"/>
      <w:r w:rsidR="00F97180" w:rsidRPr="00F97180">
        <w:rPr>
          <w:rFonts w:asciiTheme="majorHAnsi" w:eastAsiaTheme="minorHAnsi" w:hAnsiTheme="majorHAnsi" w:cstheme="majorHAnsi"/>
          <w:b/>
          <w:sz w:val="24"/>
          <w:szCs w:val="22"/>
          <w:lang w:val="es-ES" w:eastAsia="en-US"/>
        </w:rPr>
        <w:t>UTP</w:t>
      </w:r>
      <w:r w:rsidR="00A32422">
        <w:rPr>
          <w:rFonts w:asciiTheme="majorHAnsi" w:eastAsiaTheme="minorHAnsi" w:hAnsiTheme="majorHAnsi" w:cstheme="majorHAnsi"/>
          <w:b/>
          <w:sz w:val="24"/>
          <w:szCs w:val="22"/>
          <w:lang w:val="es-ES" w:eastAsia="en-US"/>
        </w:rPr>
        <w:t>s</w:t>
      </w:r>
      <w:proofErr w:type="spellEnd"/>
      <w:r w:rsidR="00F97180" w:rsidRPr="00F97180">
        <w:rPr>
          <w:rFonts w:asciiTheme="majorHAnsi" w:eastAsiaTheme="minorHAnsi" w:hAnsiTheme="majorHAnsi" w:cstheme="majorHAnsi"/>
          <w:b/>
          <w:sz w:val="24"/>
          <w:szCs w:val="22"/>
          <w:lang w:val="es-ES" w:eastAsia="en-US"/>
        </w:rPr>
        <w:t>)</w:t>
      </w:r>
      <w:r w:rsidR="00F97180">
        <w:rPr>
          <w:rFonts w:asciiTheme="majorHAnsi" w:eastAsiaTheme="minorHAnsi" w:hAnsiTheme="majorHAnsi" w:cstheme="majorHAnsi"/>
          <w:sz w:val="24"/>
          <w:szCs w:val="22"/>
          <w:lang w:val="es-ES" w:eastAsia="en-US"/>
        </w:rPr>
        <w:t xml:space="preserve"> </w:t>
      </w:r>
      <w:r w:rsidRPr="00F97180">
        <w:rPr>
          <w:rFonts w:asciiTheme="majorHAnsi" w:eastAsiaTheme="minorHAnsi" w:hAnsiTheme="majorHAnsi" w:cstheme="majorHAnsi"/>
          <w:sz w:val="24"/>
          <w:szCs w:val="22"/>
          <w:lang w:val="es-ES" w:eastAsia="en-US"/>
        </w:rPr>
        <w:t xml:space="preserve">en </w:t>
      </w:r>
      <w:r w:rsidR="00DC6518" w:rsidRPr="00F97180">
        <w:rPr>
          <w:rFonts w:asciiTheme="majorHAnsi" w:eastAsiaTheme="minorHAnsi" w:hAnsiTheme="majorHAnsi" w:cstheme="majorHAnsi"/>
          <w:sz w:val="24"/>
          <w:szCs w:val="22"/>
          <w:lang w:val="es-ES" w:eastAsia="en-US"/>
        </w:rPr>
        <w:t>las relaciones entre empresas</w:t>
      </w:r>
      <w:r w:rsidR="00DC6518" w:rsidRPr="00F3311F">
        <w:rPr>
          <w:rFonts w:asciiTheme="majorHAnsi" w:eastAsiaTheme="minorHAnsi" w:hAnsiTheme="majorHAnsi" w:cstheme="majorHAnsi"/>
          <w:sz w:val="24"/>
          <w:szCs w:val="22"/>
          <w:lang w:val="es-ES" w:eastAsia="en-US"/>
        </w:rPr>
        <w:t xml:space="preserve"> e</w:t>
      </w:r>
      <w:r w:rsidRPr="00F3311F">
        <w:rPr>
          <w:rFonts w:asciiTheme="majorHAnsi" w:eastAsiaTheme="minorHAnsi" w:hAnsiTheme="majorHAnsi" w:cstheme="majorHAnsi"/>
          <w:sz w:val="24"/>
          <w:szCs w:val="22"/>
          <w:lang w:val="es-ES" w:eastAsia="en-US"/>
        </w:rPr>
        <w:t>n la caden</w:t>
      </w:r>
      <w:r w:rsidR="00A32422">
        <w:rPr>
          <w:rFonts w:asciiTheme="majorHAnsi" w:eastAsiaTheme="minorHAnsi" w:hAnsiTheme="majorHAnsi" w:cstheme="majorHAnsi"/>
          <w:sz w:val="24"/>
          <w:szCs w:val="22"/>
          <w:lang w:val="es-ES" w:eastAsia="en-US"/>
        </w:rPr>
        <w:t>a de suministro de alimentos. (</w:t>
      </w:r>
      <w:r w:rsidR="005D175E">
        <w:rPr>
          <w:rFonts w:asciiTheme="majorHAnsi" w:eastAsiaTheme="minorHAnsi" w:hAnsiTheme="majorHAnsi" w:cstheme="majorHAnsi"/>
          <w:sz w:val="24"/>
          <w:szCs w:val="22"/>
          <w:lang w:val="es-ES" w:eastAsia="en-US"/>
        </w:rPr>
        <w:t>De</w:t>
      </w:r>
      <w:r w:rsidRPr="00F3311F">
        <w:rPr>
          <w:rFonts w:asciiTheme="majorHAnsi" w:eastAsiaTheme="minorHAnsi" w:hAnsiTheme="majorHAnsi" w:cstheme="majorHAnsi"/>
          <w:sz w:val="24"/>
          <w:szCs w:val="22"/>
          <w:lang w:val="es-ES" w:eastAsia="en-US"/>
        </w:rPr>
        <w:t xml:space="preserve"> este modo, se definen las prácticas que se desvían de la buena conducta comercial, son contrarias a la buena fe y al trato justo y son impuestas unilateralmente por un socio comercial en su contraparte). Con la propuesta adoptada por el Consejo y el Parlamento Europeo en abril de 2019, los Estados miembros ahora tienen 24 meses para transponer la Directiva, y</w:t>
      </w:r>
      <w:r w:rsidR="00A32422">
        <w:rPr>
          <w:rFonts w:asciiTheme="majorHAnsi" w:eastAsiaTheme="minorHAnsi" w:hAnsiTheme="majorHAnsi" w:cstheme="majorHAnsi"/>
          <w:sz w:val="24"/>
          <w:szCs w:val="22"/>
          <w:lang w:val="es-ES" w:eastAsia="en-US"/>
        </w:rPr>
        <w:t xml:space="preserve"> para </w:t>
      </w:r>
      <w:r w:rsidRPr="00F3311F">
        <w:rPr>
          <w:rFonts w:asciiTheme="majorHAnsi" w:eastAsiaTheme="minorHAnsi" w:hAnsiTheme="majorHAnsi" w:cstheme="majorHAnsi"/>
          <w:sz w:val="24"/>
          <w:szCs w:val="22"/>
          <w:lang w:val="es-ES" w:eastAsia="en-US"/>
        </w:rPr>
        <w:t xml:space="preserve"> aplicarla seis meses </w:t>
      </w:r>
      <w:r w:rsidR="00DC6518" w:rsidRPr="00F3311F">
        <w:rPr>
          <w:rFonts w:asciiTheme="majorHAnsi" w:eastAsiaTheme="minorHAnsi" w:hAnsiTheme="majorHAnsi" w:cstheme="majorHAnsi"/>
          <w:sz w:val="24"/>
          <w:szCs w:val="22"/>
          <w:lang w:val="es-ES" w:eastAsia="en-US"/>
        </w:rPr>
        <w:t>más</w:t>
      </w:r>
      <w:r w:rsidRPr="00F3311F">
        <w:rPr>
          <w:rFonts w:asciiTheme="majorHAnsi" w:eastAsiaTheme="minorHAnsi" w:hAnsiTheme="majorHAnsi" w:cstheme="majorHAnsi"/>
          <w:sz w:val="24"/>
          <w:szCs w:val="22"/>
          <w:lang w:val="es-ES" w:eastAsia="en-US"/>
        </w:rPr>
        <w:t>.</w:t>
      </w:r>
    </w:p>
    <w:p w14:paraId="51172BC4" w14:textId="77777777" w:rsidR="00DC6518" w:rsidRPr="00F3311F" w:rsidRDefault="00DC6518" w:rsidP="00D4710E">
      <w:pPr>
        <w:spacing w:line="276" w:lineRule="auto"/>
        <w:jc w:val="both"/>
        <w:rPr>
          <w:rFonts w:asciiTheme="majorHAnsi" w:eastAsiaTheme="minorHAnsi" w:hAnsiTheme="majorHAnsi" w:cstheme="majorHAnsi"/>
          <w:sz w:val="24"/>
          <w:szCs w:val="22"/>
          <w:lang w:val="es-ES" w:eastAsia="en-US"/>
        </w:rPr>
      </w:pPr>
    </w:p>
    <w:p w14:paraId="603C9D6F" w14:textId="24864D51" w:rsidR="00F43A40" w:rsidRPr="00F3311F" w:rsidRDefault="005D24D5" w:rsidP="00F43A40">
      <w:pPr>
        <w:pStyle w:val="Textonotapie"/>
        <w:tabs>
          <w:tab w:val="left" w:pos="-2552"/>
        </w:tabs>
        <w:spacing w:line="276" w:lineRule="auto"/>
        <w:jc w:val="both"/>
        <w:rPr>
          <w:rFonts w:asciiTheme="majorHAnsi" w:hAnsiTheme="majorHAnsi" w:cstheme="majorHAnsi"/>
          <w:sz w:val="36"/>
          <w:szCs w:val="24"/>
          <w:u w:val="single"/>
        </w:rPr>
      </w:pPr>
      <w:r w:rsidRPr="00F3311F">
        <w:rPr>
          <w:rFonts w:asciiTheme="majorHAnsi" w:eastAsiaTheme="minorHAnsi" w:hAnsiTheme="majorHAnsi" w:cstheme="majorHAnsi"/>
          <w:sz w:val="24"/>
          <w:szCs w:val="22"/>
          <w:lang w:val="es-ES" w:eastAsia="en-US"/>
        </w:rPr>
        <w:t>D</w:t>
      </w:r>
      <w:r w:rsidR="00A32422">
        <w:rPr>
          <w:rFonts w:asciiTheme="majorHAnsi" w:eastAsiaTheme="minorHAnsi" w:hAnsiTheme="majorHAnsi" w:cstheme="majorHAnsi"/>
          <w:sz w:val="24"/>
          <w:szCs w:val="22"/>
          <w:lang w:val="es-ES" w:eastAsia="en-US"/>
        </w:rPr>
        <w:t>ado que algunos Estados miembro</w:t>
      </w:r>
      <w:r w:rsidRPr="00F3311F">
        <w:rPr>
          <w:rFonts w:asciiTheme="majorHAnsi" w:eastAsiaTheme="minorHAnsi" w:hAnsiTheme="majorHAnsi" w:cstheme="majorHAnsi"/>
          <w:sz w:val="24"/>
          <w:szCs w:val="22"/>
          <w:lang w:val="es-ES" w:eastAsia="en-US"/>
        </w:rPr>
        <w:t xml:space="preserve"> ya cuentan con una legislación que aborda las UTP, la armonización de la regulación de las UTP en toda la UE</w:t>
      </w:r>
      <w:r w:rsidR="005D175E">
        <w:rPr>
          <w:rFonts w:asciiTheme="majorHAnsi" w:eastAsiaTheme="minorHAnsi" w:hAnsiTheme="majorHAnsi" w:cstheme="majorHAnsi"/>
          <w:sz w:val="24"/>
          <w:szCs w:val="22"/>
          <w:lang w:val="es-ES" w:eastAsia="en-US"/>
        </w:rPr>
        <w:t xml:space="preserve"> aún deja a los Estados miembro</w:t>
      </w:r>
      <w:r w:rsidRPr="00F3311F">
        <w:rPr>
          <w:rFonts w:asciiTheme="majorHAnsi" w:eastAsiaTheme="minorHAnsi" w:hAnsiTheme="majorHAnsi" w:cstheme="majorHAnsi"/>
          <w:sz w:val="24"/>
          <w:szCs w:val="22"/>
          <w:lang w:val="es-ES" w:eastAsia="en-US"/>
        </w:rPr>
        <w:t xml:space="preserve"> </w:t>
      </w:r>
      <w:r w:rsidRPr="00F3311F">
        <w:rPr>
          <w:rFonts w:asciiTheme="majorHAnsi" w:eastAsiaTheme="minorHAnsi" w:hAnsiTheme="majorHAnsi" w:cstheme="majorHAnsi"/>
          <w:sz w:val="24"/>
          <w:szCs w:val="22"/>
          <w:lang w:val="es-ES" w:eastAsia="en-US"/>
        </w:rPr>
        <w:lastRenderedPageBreak/>
        <w:t xml:space="preserve">la posibilidad de mantener </w:t>
      </w:r>
      <w:r w:rsidR="00F97180">
        <w:rPr>
          <w:rFonts w:asciiTheme="majorHAnsi" w:eastAsiaTheme="minorHAnsi" w:hAnsiTheme="majorHAnsi" w:cstheme="majorHAnsi"/>
          <w:sz w:val="24"/>
          <w:szCs w:val="22"/>
          <w:lang w:val="es-ES" w:eastAsia="en-US"/>
        </w:rPr>
        <w:t>o tener nuevas</w:t>
      </w:r>
      <w:r w:rsidRPr="00F3311F">
        <w:rPr>
          <w:rFonts w:asciiTheme="majorHAnsi" w:eastAsiaTheme="minorHAnsi" w:hAnsiTheme="majorHAnsi" w:cstheme="majorHAnsi"/>
          <w:sz w:val="24"/>
          <w:szCs w:val="22"/>
          <w:lang w:val="es-ES" w:eastAsia="en-US"/>
        </w:rPr>
        <w:t xml:space="preserve"> medidas </w:t>
      </w:r>
      <w:r w:rsidR="00F97180">
        <w:rPr>
          <w:rFonts w:asciiTheme="majorHAnsi" w:eastAsiaTheme="minorHAnsi" w:hAnsiTheme="majorHAnsi" w:cstheme="majorHAnsi"/>
          <w:sz w:val="24"/>
          <w:szCs w:val="22"/>
          <w:lang w:val="es-ES" w:eastAsia="en-US"/>
        </w:rPr>
        <w:t>siempre que</w:t>
      </w:r>
      <w:r w:rsidRPr="00F3311F">
        <w:rPr>
          <w:rFonts w:asciiTheme="majorHAnsi" w:eastAsiaTheme="minorHAnsi" w:hAnsiTheme="majorHAnsi" w:cstheme="majorHAnsi"/>
          <w:sz w:val="24"/>
          <w:szCs w:val="22"/>
          <w:lang w:val="es-ES" w:eastAsia="en-US"/>
        </w:rPr>
        <w:t xml:space="preserve"> éstas </w:t>
      </w:r>
      <w:r w:rsidR="00F97180">
        <w:rPr>
          <w:rFonts w:asciiTheme="majorHAnsi" w:eastAsiaTheme="minorHAnsi" w:hAnsiTheme="majorHAnsi" w:cstheme="majorHAnsi"/>
          <w:sz w:val="24"/>
          <w:szCs w:val="22"/>
          <w:lang w:val="es-ES" w:eastAsia="en-US"/>
        </w:rPr>
        <w:t xml:space="preserve">mantengan o </w:t>
      </w:r>
      <w:r w:rsidRPr="00F3311F">
        <w:rPr>
          <w:rFonts w:asciiTheme="majorHAnsi" w:eastAsiaTheme="minorHAnsi" w:hAnsiTheme="majorHAnsi" w:cstheme="majorHAnsi"/>
          <w:sz w:val="24"/>
          <w:szCs w:val="22"/>
          <w:lang w:val="es-ES" w:eastAsia="en-US"/>
        </w:rPr>
        <w:t>s</w:t>
      </w:r>
      <w:r w:rsidR="00DC6518" w:rsidRPr="00F3311F">
        <w:rPr>
          <w:rFonts w:asciiTheme="majorHAnsi" w:eastAsiaTheme="minorHAnsi" w:hAnsiTheme="majorHAnsi" w:cstheme="majorHAnsi"/>
          <w:sz w:val="24"/>
          <w:szCs w:val="22"/>
          <w:lang w:val="es-ES" w:eastAsia="en-US"/>
        </w:rPr>
        <w:t>uper</w:t>
      </w:r>
      <w:r w:rsidR="00F97180">
        <w:rPr>
          <w:rFonts w:asciiTheme="majorHAnsi" w:eastAsiaTheme="minorHAnsi" w:hAnsiTheme="majorHAnsi" w:cstheme="majorHAnsi"/>
          <w:sz w:val="24"/>
          <w:szCs w:val="22"/>
          <w:lang w:val="es-ES" w:eastAsia="en-US"/>
        </w:rPr>
        <w:t>e</w:t>
      </w:r>
      <w:r w:rsidR="00DC6518" w:rsidRPr="00F3311F">
        <w:rPr>
          <w:rFonts w:asciiTheme="majorHAnsi" w:eastAsiaTheme="minorHAnsi" w:hAnsiTheme="majorHAnsi" w:cstheme="majorHAnsi"/>
          <w:sz w:val="24"/>
          <w:szCs w:val="22"/>
          <w:lang w:val="es-ES" w:eastAsia="en-US"/>
        </w:rPr>
        <w:t>n el nivel de protección que establece</w:t>
      </w:r>
      <w:r w:rsidRPr="00F3311F">
        <w:rPr>
          <w:rFonts w:asciiTheme="majorHAnsi" w:eastAsiaTheme="minorHAnsi" w:hAnsiTheme="majorHAnsi" w:cstheme="majorHAnsi"/>
          <w:sz w:val="24"/>
          <w:szCs w:val="22"/>
          <w:lang w:val="es-ES" w:eastAsia="en-US"/>
        </w:rPr>
        <w:t xml:space="preserve"> la Directiva.</w:t>
      </w:r>
    </w:p>
    <w:p w14:paraId="713BD6C3" w14:textId="3BC91E30" w:rsidR="00B71ED0" w:rsidRPr="00F3311F" w:rsidRDefault="00B71ED0" w:rsidP="00D4710E">
      <w:pPr>
        <w:spacing w:line="276" w:lineRule="auto"/>
        <w:ind w:left="360"/>
        <w:jc w:val="both"/>
        <w:rPr>
          <w:rFonts w:asciiTheme="majorHAnsi" w:eastAsiaTheme="minorHAnsi" w:hAnsiTheme="majorHAnsi" w:cstheme="majorHAnsi"/>
          <w:sz w:val="24"/>
          <w:szCs w:val="22"/>
          <w:lang w:val="es-ES" w:eastAsia="en-US"/>
        </w:rPr>
      </w:pPr>
    </w:p>
    <w:p w14:paraId="67C9DF14" w14:textId="77777777" w:rsidR="00DC6518" w:rsidRPr="00F3311F" w:rsidRDefault="00DC6518" w:rsidP="00D4710E">
      <w:pPr>
        <w:spacing w:line="276" w:lineRule="auto"/>
        <w:ind w:left="360"/>
        <w:jc w:val="both"/>
        <w:rPr>
          <w:rFonts w:asciiTheme="majorHAnsi" w:eastAsiaTheme="minorHAnsi" w:hAnsiTheme="majorHAnsi" w:cstheme="majorHAnsi"/>
          <w:sz w:val="24"/>
          <w:szCs w:val="22"/>
          <w:lang w:val="es-ES" w:eastAsia="en-US"/>
        </w:rPr>
      </w:pPr>
    </w:p>
    <w:p w14:paraId="71312189" w14:textId="6DA8BB88" w:rsidR="000D0E8B" w:rsidRPr="00F3311F" w:rsidRDefault="00DC6518" w:rsidP="00D4710E">
      <w:pPr>
        <w:spacing w:line="276" w:lineRule="auto"/>
        <w:ind w:left="360"/>
        <w:jc w:val="both"/>
        <w:rPr>
          <w:rFonts w:asciiTheme="majorHAnsi" w:eastAsiaTheme="minorHAnsi" w:hAnsiTheme="majorHAnsi" w:cstheme="majorHAnsi"/>
          <w:sz w:val="24"/>
          <w:szCs w:val="22"/>
          <w:lang w:val="es-ES" w:eastAsia="en-US"/>
        </w:rPr>
      </w:pPr>
      <w:r w:rsidRPr="00F3311F">
        <w:rPr>
          <w:rFonts w:asciiTheme="majorHAnsi" w:eastAsiaTheme="minorHAnsi" w:hAnsiTheme="majorHAnsi" w:cstheme="majorHAnsi"/>
          <w:sz w:val="24"/>
          <w:szCs w:val="22"/>
          <w:lang w:val="es-ES" w:eastAsia="en-US"/>
        </w:rPr>
        <w:t xml:space="preserve">Junto la </w:t>
      </w:r>
      <w:r w:rsidR="005D175E">
        <w:rPr>
          <w:rFonts w:asciiTheme="majorHAnsi" w:eastAsiaTheme="minorHAnsi" w:hAnsiTheme="majorHAnsi" w:cstheme="majorHAnsi"/>
          <w:sz w:val="24"/>
          <w:szCs w:val="22"/>
          <w:lang w:val="es-ES" w:eastAsia="en-US"/>
        </w:rPr>
        <w:t>D</w:t>
      </w:r>
      <w:r w:rsidRPr="00F3311F">
        <w:rPr>
          <w:rFonts w:asciiTheme="majorHAnsi" w:eastAsiaTheme="minorHAnsi" w:hAnsiTheme="majorHAnsi" w:cstheme="majorHAnsi"/>
          <w:sz w:val="24"/>
          <w:szCs w:val="22"/>
          <w:lang w:val="es-ES" w:eastAsia="en-US"/>
        </w:rPr>
        <w:t>irectiva</w:t>
      </w:r>
      <w:r w:rsidRPr="00F3311F">
        <w:rPr>
          <w:rFonts w:asciiTheme="majorHAnsi" w:eastAsiaTheme="minorHAnsi" w:hAnsiTheme="majorHAnsi" w:cstheme="majorHAnsi"/>
          <w:b/>
          <w:sz w:val="24"/>
          <w:szCs w:val="22"/>
          <w:lang w:val="es-ES" w:eastAsia="en-US"/>
        </w:rPr>
        <w:t xml:space="preserve">, la transparencia de mercados </w:t>
      </w:r>
      <w:r w:rsidRPr="00F3311F">
        <w:rPr>
          <w:rFonts w:asciiTheme="majorHAnsi" w:eastAsiaTheme="minorHAnsi" w:hAnsiTheme="majorHAnsi" w:cstheme="majorHAnsi"/>
          <w:sz w:val="24"/>
          <w:szCs w:val="22"/>
          <w:lang w:val="es-ES" w:eastAsia="en-US"/>
        </w:rPr>
        <w:t xml:space="preserve">resulta relevante para un mejor funcionamiento de la cadena </w:t>
      </w:r>
      <w:r w:rsidR="000D0E8B" w:rsidRPr="00F3311F">
        <w:rPr>
          <w:rFonts w:asciiTheme="majorHAnsi" w:eastAsiaTheme="minorHAnsi" w:hAnsiTheme="majorHAnsi" w:cstheme="majorHAnsi"/>
          <w:sz w:val="24"/>
          <w:szCs w:val="22"/>
          <w:lang w:val="es-ES" w:eastAsia="en-US"/>
        </w:rPr>
        <w:t>alimentaria.</w:t>
      </w:r>
    </w:p>
    <w:p w14:paraId="5602788B" w14:textId="77236808" w:rsidR="00DC6518" w:rsidRPr="00F3311F" w:rsidRDefault="000D0E8B" w:rsidP="00D4710E">
      <w:pPr>
        <w:spacing w:line="276" w:lineRule="auto"/>
        <w:ind w:left="360"/>
        <w:jc w:val="both"/>
        <w:rPr>
          <w:rFonts w:asciiTheme="majorHAnsi" w:eastAsiaTheme="minorHAnsi" w:hAnsiTheme="majorHAnsi" w:cstheme="majorHAnsi"/>
          <w:sz w:val="24"/>
          <w:szCs w:val="22"/>
          <w:lang w:val="es-ES" w:eastAsia="en-US"/>
        </w:rPr>
      </w:pPr>
      <w:r w:rsidRPr="00F3311F">
        <w:rPr>
          <w:rFonts w:asciiTheme="majorHAnsi" w:eastAsiaTheme="minorHAnsi" w:hAnsiTheme="majorHAnsi" w:cstheme="majorHAnsi"/>
          <w:sz w:val="24"/>
          <w:szCs w:val="22"/>
          <w:lang w:val="es-ES" w:eastAsia="en-US"/>
        </w:rPr>
        <w:t>De cara a mejorar la volatilidad de los mercados e interpretar las señales de los precios, la Comisión ha establecido varios observatorios de mercados: para el sector de la leche, carne, azúcar y cultivos herbáceos. También se encuentran en preparación los observatorios de vino y de frutas y hortalizas. Con estos objetivos se pretende dar transparencia a través de datos de mercados y análisis a corto plazo de manera puntual.</w:t>
      </w:r>
    </w:p>
    <w:p w14:paraId="71B2E5B6" w14:textId="3A9AC391" w:rsidR="000D0E8B" w:rsidRPr="00F3311F" w:rsidRDefault="00FA5626" w:rsidP="00D4710E">
      <w:pPr>
        <w:spacing w:line="276" w:lineRule="auto"/>
        <w:ind w:left="360"/>
        <w:jc w:val="both"/>
        <w:rPr>
          <w:rFonts w:asciiTheme="majorHAnsi" w:eastAsiaTheme="minorHAnsi" w:hAnsiTheme="majorHAnsi" w:cstheme="majorHAnsi"/>
          <w:sz w:val="24"/>
          <w:szCs w:val="22"/>
          <w:lang w:val="es-ES" w:eastAsia="en-US"/>
        </w:rPr>
      </w:pPr>
      <w:r w:rsidRPr="00F3311F">
        <w:rPr>
          <w:rFonts w:asciiTheme="majorHAnsi" w:eastAsiaTheme="minorHAnsi" w:hAnsiTheme="majorHAnsi" w:cstheme="majorHAnsi"/>
          <w:noProof/>
          <w:sz w:val="24"/>
          <w:szCs w:val="22"/>
          <w:lang w:val="es-ES"/>
        </w:rPr>
        <mc:AlternateContent>
          <mc:Choice Requires="wps">
            <w:drawing>
              <wp:anchor distT="45720" distB="45720" distL="114300" distR="114300" simplePos="0" relativeHeight="251671552" behindDoc="0" locked="0" layoutInCell="1" allowOverlap="1" wp14:anchorId="23377605" wp14:editId="5ED7BC9E">
                <wp:simplePos x="0" y="0"/>
                <wp:positionH relativeFrom="margin">
                  <wp:align>right</wp:align>
                </wp:positionH>
                <wp:positionV relativeFrom="paragraph">
                  <wp:posOffset>749935</wp:posOffset>
                </wp:positionV>
                <wp:extent cx="5125720" cy="3083560"/>
                <wp:effectExtent l="0" t="0" r="17780" b="2159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3083560"/>
                        </a:xfrm>
                        <a:prstGeom prst="rect">
                          <a:avLst/>
                        </a:prstGeom>
                        <a:solidFill>
                          <a:srgbClr val="FFFFFF"/>
                        </a:solidFill>
                        <a:ln w="9525">
                          <a:solidFill>
                            <a:srgbClr val="000000"/>
                          </a:solidFill>
                          <a:miter lim="800000"/>
                          <a:headEnd/>
                          <a:tailEnd/>
                        </a:ln>
                      </wps:spPr>
                      <wps:txbx>
                        <w:txbxContent>
                          <w:p w14:paraId="5EE2F22A" w14:textId="53C162EC" w:rsidR="00BC04DA" w:rsidRDefault="00BC04DA">
                            <w:r>
                              <w:rPr>
                                <w:noProof/>
                                <w:lang w:val="es-ES"/>
                              </w:rPr>
                              <w:drawing>
                                <wp:inline distT="0" distB="0" distL="0" distR="0" wp14:anchorId="3CFCCDAD" wp14:editId="11F11CBD">
                                  <wp:extent cx="4898208" cy="30559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251" t="10821" r="25598" b="15816"/>
                                          <a:stretch/>
                                        </pic:blipFill>
                                        <pic:spPr bwMode="auto">
                                          <a:xfrm>
                                            <a:off x="0" y="0"/>
                                            <a:ext cx="4919486" cy="30691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77605" id="_x0000_s1030" type="#_x0000_t202" style="position:absolute;left:0;text-align:left;margin-left:352.4pt;margin-top:59.05pt;width:403.6pt;height:242.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">
                <v:textbox>
                  <w:txbxContent>
                    <w:p w14:paraId="5EE2F22A" w14:textId="53C162EC" w:rsidR="00BC04DA" w:rsidRDefault="00BC04DA">
                      <w:r>
                        <w:rPr>
                          <w:noProof/>
                          <w:lang w:val="es-ES"/>
                        </w:rPr>
                        <w:drawing>
                          <wp:inline distT="0" distB="0" distL="0" distR="0" wp14:anchorId="3CFCCDAD" wp14:editId="11F11CBD">
                            <wp:extent cx="4898208" cy="30559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251" t="10821" r="25598" b="15816"/>
                                    <a:stretch/>
                                  </pic:blipFill>
                                  <pic:spPr bwMode="auto">
                                    <a:xfrm>
                                      <a:off x="0" y="0"/>
                                      <a:ext cx="4919486" cy="30691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D0E8B" w:rsidRPr="00F3311F">
        <w:rPr>
          <w:rFonts w:asciiTheme="majorHAnsi" w:eastAsiaTheme="minorHAnsi" w:hAnsiTheme="majorHAnsi" w:cstheme="majorHAnsi"/>
          <w:sz w:val="24"/>
          <w:szCs w:val="22"/>
          <w:lang w:val="es-ES" w:eastAsia="en-US"/>
        </w:rPr>
        <w:t xml:space="preserve">Como resultado de una </w:t>
      </w:r>
      <w:r w:rsidR="00F97180">
        <w:rPr>
          <w:rFonts w:asciiTheme="majorHAnsi" w:eastAsiaTheme="minorHAnsi" w:hAnsiTheme="majorHAnsi" w:cstheme="majorHAnsi"/>
          <w:sz w:val="24"/>
          <w:szCs w:val="22"/>
          <w:lang w:val="es-ES" w:eastAsia="en-US"/>
        </w:rPr>
        <w:t>PAC</w:t>
      </w:r>
      <w:r w:rsidR="000D0E8B" w:rsidRPr="00F3311F">
        <w:rPr>
          <w:rFonts w:asciiTheme="majorHAnsi" w:eastAsiaTheme="minorHAnsi" w:hAnsiTheme="majorHAnsi" w:cstheme="majorHAnsi"/>
          <w:sz w:val="24"/>
          <w:szCs w:val="22"/>
          <w:lang w:val="es-ES" w:eastAsia="en-US"/>
        </w:rPr>
        <w:t xml:space="preserve"> más orientada al mercado, tanto agricultores como organizaciones de productores, cooperativas y otros actores están recurriendo  a los mercados de futuro, con el fin de protegerse frente a la volatilidad. Las cifras son bajas aun pero se observa un creciente interés.</w:t>
      </w:r>
    </w:p>
    <w:p w14:paraId="772FEAC3" w14:textId="50F82704" w:rsidR="000D0E8B" w:rsidRPr="00F3311F" w:rsidRDefault="000D0E8B" w:rsidP="00D4710E">
      <w:pPr>
        <w:spacing w:line="276" w:lineRule="auto"/>
        <w:ind w:left="360"/>
        <w:jc w:val="both"/>
        <w:rPr>
          <w:rFonts w:asciiTheme="majorHAnsi" w:eastAsiaTheme="minorHAnsi" w:hAnsiTheme="majorHAnsi" w:cstheme="majorHAnsi"/>
          <w:sz w:val="24"/>
          <w:szCs w:val="22"/>
          <w:lang w:val="es-ES" w:eastAsia="en-US"/>
        </w:rPr>
      </w:pPr>
    </w:p>
    <w:p w14:paraId="2C445675" w14:textId="6D5B8EA3" w:rsidR="00945DEE" w:rsidRPr="00F3311F" w:rsidRDefault="00945DEE" w:rsidP="00D4710E">
      <w:pPr>
        <w:spacing w:line="276" w:lineRule="auto"/>
        <w:ind w:left="360"/>
        <w:jc w:val="both"/>
        <w:rPr>
          <w:rFonts w:asciiTheme="majorHAnsi" w:eastAsiaTheme="minorHAnsi" w:hAnsiTheme="majorHAnsi" w:cstheme="majorHAnsi"/>
          <w:sz w:val="24"/>
          <w:szCs w:val="22"/>
          <w:lang w:val="es-ES" w:eastAsia="en-US"/>
        </w:rPr>
      </w:pPr>
      <w:r w:rsidRPr="00F3311F">
        <w:rPr>
          <w:rFonts w:asciiTheme="majorHAnsi" w:eastAsiaTheme="minorHAnsi" w:hAnsiTheme="majorHAnsi" w:cstheme="majorHAnsi"/>
          <w:sz w:val="24"/>
          <w:szCs w:val="22"/>
          <w:lang w:val="es-ES" w:eastAsia="en-US"/>
        </w:rPr>
        <w:t xml:space="preserve">También hace una mención especial a la tecnología </w:t>
      </w:r>
      <w:proofErr w:type="spellStart"/>
      <w:r w:rsidRPr="00F3311F">
        <w:rPr>
          <w:rFonts w:asciiTheme="majorHAnsi" w:eastAsiaTheme="minorHAnsi" w:hAnsiTheme="majorHAnsi" w:cstheme="majorHAnsi"/>
          <w:sz w:val="24"/>
          <w:szCs w:val="22"/>
          <w:u w:val="single"/>
          <w:lang w:val="es-ES" w:eastAsia="en-US"/>
        </w:rPr>
        <w:t>Blockchain</w:t>
      </w:r>
      <w:proofErr w:type="spellEnd"/>
      <w:r w:rsidRPr="00F3311F">
        <w:rPr>
          <w:rFonts w:asciiTheme="majorHAnsi" w:eastAsiaTheme="minorHAnsi" w:hAnsiTheme="majorHAnsi" w:cstheme="majorHAnsi"/>
          <w:sz w:val="24"/>
          <w:szCs w:val="22"/>
          <w:u w:val="single"/>
          <w:lang w:val="es-ES" w:eastAsia="en-US"/>
        </w:rPr>
        <w:t xml:space="preserve"> </w:t>
      </w:r>
      <w:r w:rsidRPr="00F3311F">
        <w:rPr>
          <w:rFonts w:asciiTheme="majorHAnsi" w:eastAsiaTheme="minorHAnsi" w:hAnsiTheme="majorHAnsi" w:cstheme="majorHAnsi"/>
          <w:sz w:val="24"/>
          <w:szCs w:val="22"/>
          <w:lang w:val="es-ES" w:eastAsia="en-US"/>
        </w:rPr>
        <w:t>como una forma de mejorar la transparencia y eficiencia de la cadena alimentaria, de forma que permitiría una trazabilidad instantánea de los productos en el recorrido “</w:t>
      </w:r>
      <w:r w:rsidRPr="00F3311F">
        <w:rPr>
          <w:rFonts w:asciiTheme="majorHAnsi" w:eastAsiaTheme="minorHAnsi" w:hAnsiTheme="majorHAnsi" w:cstheme="majorHAnsi"/>
          <w:i/>
          <w:sz w:val="24"/>
          <w:szCs w:val="22"/>
          <w:lang w:val="es-ES" w:eastAsia="en-US"/>
        </w:rPr>
        <w:t>de la granja a la mesa</w:t>
      </w:r>
      <w:r w:rsidRPr="00F3311F">
        <w:rPr>
          <w:rFonts w:asciiTheme="majorHAnsi" w:eastAsiaTheme="minorHAnsi" w:hAnsiTheme="majorHAnsi" w:cstheme="majorHAnsi"/>
          <w:sz w:val="24"/>
          <w:szCs w:val="22"/>
          <w:lang w:val="es-ES" w:eastAsia="en-US"/>
        </w:rPr>
        <w:t>”. Esta tecnología permitiría a cada interesado de la cadena tener una mejor imagen del recorrido del producto (crecimiento, manejo, transformación, almacenaj</w:t>
      </w:r>
      <w:r w:rsidR="005D175E">
        <w:rPr>
          <w:rFonts w:asciiTheme="majorHAnsi" w:eastAsiaTheme="minorHAnsi" w:hAnsiTheme="majorHAnsi" w:cstheme="majorHAnsi"/>
          <w:sz w:val="24"/>
          <w:szCs w:val="22"/>
          <w:lang w:val="es-ES" w:eastAsia="en-US"/>
        </w:rPr>
        <w:t xml:space="preserve">e, inputs utilizados etc…). El </w:t>
      </w:r>
      <w:proofErr w:type="spellStart"/>
      <w:r w:rsidR="005D175E">
        <w:rPr>
          <w:rFonts w:asciiTheme="majorHAnsi" w:eastAsiaTheme="minorHAnsi" w:hAnsiTheme="majorHAnsi" w:cstheme="majorHAnsi"/>
          <w:sz w:val="24"/>
          <w:szCs w:val="22"/>
          <w:lang w:val="es-ES" w:eastAsia="en-US"/>
        </w:rPr>
        <w:t>B</w:t>
      </w:r>
      <w:r w:rsidRPr="00F3311F">
        <w:rPr>
          <w:rFonts w:asciiTheme="majorHAnsi" w:eastAsiaTheme="minorHAnsi" w:hAnsiTheme="majorHAnsi" w:cstheme="majorHAnsi"/>
          <w:sz w:val="24"/>
          <w:szCs w:val="22"/>
          <w:lang w:val="es-ES" w:eastAsia="en-US"/>
        </w:rPr>
        <w:t>riefing</w:t>
      </w:r>
      <w:proofErr w:type="spellEnd"/>
      <w:r w:rsidRPr="00F3311F">
        <w:rPr>
          <w:rFonts w:asciiTheme="majorHAnsi" w:eastAsiaTheme="minorHAnsi" w:hAnsiTheme="majorHAnsi" w:cstheme="majorHAnsi"/>
          <w:sz w:val="24"/>
          <w:szCs w:val="22"/>
          <w:lang w:val="es-ES" w:eastAsia="en-US"/>
        </w:rPr>
        <w:t xml:space="preserve"> remarca sin embargo las debilidades de la tecnología indicando q</w:t>
      </w:r>
      <w:r w:rsidR="005D175E">
        <w:rPr>
          <w:rFonts w:asciiTheme="majorHAnsi" w:eastAsiaTheme="minorHAnsi" w:hAnsiTheme="majorHAnsi" w:cstheme="majorHAnsi"/>
          <w:sz w:val="24"/>
          <w:szCs w:val="22"/>
          <w:lang w:val="es-ES" w:eastAsia="en-US"/>
        </w:rPr>
        <w:t>ue se trata de una tecnología aú</w:t>
      </w:r>
      <w:r w:rsidRPr="00F3311F">
        <w:rPr>
          <w:rFonts w:asciiTheme="majorHAnsi" w:eastAsiaTheme="minorHAnsi" w:hAnsiTheme="majorHAnsi" w:cstheme="majorHAnsi"/>
          <w:sz w:val="24"/>
          <w:szCs w:val="22"/>
          <w:lang w:val="es-ES" w:eastAsia="en-US"/>
        </w:rPr>
        <w:t xml:space="preserve">n no madura, sin </w:t>
      </w:r>
      <w:r w:rsidRPr="00F3311F">
        <w:rPr>
          <w:rFonts w:asciiTheme="majorHAnsi" w:eastAsiaTheme="minorHAnsi" w:hAnsiTheme="majorHAnsi" w:cstheme="majorHAnsi"/>
          <w:sz w:val="24"/>
          <w:szCs w:val="22"/>
          <w:lang w:val="es-ES" w:eastAsia="en-US"/>
        </w:rPr>
        <w:lastRenderedPageBreak/>
        <w:t>regulación específica</w:t>
      </w:r>
      <w:r w:rsidR="005D175E">
        <w:rPr>
          <w:rFonts w:asciiTheme="majorHAnsi" w:eastAsiaTheme="minorHAnsi" w:hAnsiTheme="majorHAnsi" w:cstheme="majorHAnsi"/>
          <w:sz w:val="24"/>
          <w:szCs w:val="22"/>
          <w:lang w:val="es-ES" w:eastAsia="en-US"/>
        </w:rPr>
        <w:t>,</w:t>
      </w:r>
      <w:r w:rsidRPr="00F3311F">
        <w:rPr>
          <w:rFonts w:asciiTheme="majorHAnsi" w:eastAsiaTheme="minorHAnsi" w:hAnsiTheme="majorHAnsi" w:cstheme="majorHAnsi"/>
          <w:sz w:val="24"/>
          <w:szCs w:val="22"/>
          <w:lang w:val="es-ES" w:eastAsia="en-US"/>
        </w:rPr>
        <w:t xml:space="preserve"> que necesitaría ser adaptada para responder a los problemas de: capacidad, periodo de validación, adaptabilidad, confidencialidad seguridad de los sis</w:t>
      </w:r>
      <w:r w:rsidR="00FA5626" w:rsidRPr="00F3311F">
        <w:rPr>
          <w:rFonts w:asciiTheme="majorHAnsi" w:eastAsiaTheme="minorHAnsi" w:hAnsiTheme="majorHAnsi" w:cstheme="majorHAnsi"/>
          <w:sz w:val="24"/>
          <w:szCs w:val="22"/>
          <w:lang w:val="es-ES" w:eastAsia="en-US"/>
        </w:rPr>
        <w:t>temas y propiedad de los datos/</w:t>
      </w:r>
      <w:r w:rsidRPr="00F3311F">
        <w:rPr>
          <w:rFonts w:asciiTheme="majorHAnsi" w:eastAsiaTheme="minorHAnsi" w:hAnsiTheme="majorHAnsi" w:cstheme="majorHAnsi"/>
          <w:sz w:val="24"/>
          <w:szCs w:val="22"/>
          <w:lang w:val="es-ES" w:eastAsia="en-US"/>
        </w:rPr>
        <w:t>cadenas de forma que reduzcan las asimetrías</w:t>
      </w:r>
      <w:r w:rsidR="005D175E">
        <w:rPr>
          <w:rFonts w:asciiTheme="majorHAnsi" w:eastAsiaTheme="minorHAnsi" w:hAnsiTheme="majorHAnsi" w:cstheme="majorHAnsi"/>
          <w:sz w:val="24"/>
          <w:szCs w:val="22"/>
          <w:lang w:val="es-ES" w:eastAsia="en-US"/>
        </w:rPr>
        <w:t>.</w:t>
      </w:r>
    </w:p>
    <w:p w14:paraId="207D172A" w14:textId="77777777" w:rsidR="000D0E8B" w:rsidRPr="00F3311F" w:rsidRDefault="000D0E8B" w:rsidP="00D4710E">
      <w:pPr>
        <w:spacing w:line="276" w:lineRule="auto"/>
        <w:jc w:val="both"/>
        <w:rPr>
          <w:rFonts w:asciiTheme="majorHAnsi" w:eastAsiaTheme="minorHAnsi" w:hAnsiTheme="majorHAnsi" w:cstheme="majorHAnsi"/>
          <w:sz w:val="24"/>
          <w:szCs w:val="22"/>
          <w:lang w:val="es-ES" w:eastAsia="en-US"/>
        </w:rPr>
      </w:pPr>
    </w:p>
    <w:p w14:paraId="70C92FCE" w14:textId="33B44AA9" w:rsidR="00B71ED0" w:rsidRPr="00F3311F" w:rsidRDefault="00945DEE" w:rsidP="000033C1">
      <w:pPr>
        <w:pStyle w:val="Prrafodelista"/>
        <w:numPr>
          <w:ilvl w:val="0"/>
          <w:numId w:val="3"/>
        </w:numPr>
        <w:spacing w:line="276" w:lineRule="auto"/>
        <w:jc w:val="both"/>
        <w:rPr>
          <w:rFonts w:asciiTheme="majorHAnsi" w:hAnsiTheme="majorHAnsi" w:cstheme="majorHAnsi"/>
          <w:sz w:val="24"/>
          <w:u w:val="single"/>
        </w:rPr>
      </w:pPr>
      <w:r w:rsidRPr="00F3311F">
        <w:rPr>
          <w:rFonts w:asciiTheme="majorHAnsi" w:hAnsiTheme="majorHAnsi" w:cstheme="majorHAnsi"/>
          <w:sz w:val="24"/>
          <w:u w:val="single"/>
        </w:rPr>
        <w:t>Apoyar el desarrollo de mercados que apoyen modelos de producción</w:t>
      </w:r>
    </w:p>
    <w:p w14:paraId="73EAAD97" w14:textId="77777777" w:rsidR="00945DEE" w:rsidRPr="00F3311F" w:rsidRDefault="00945DEE" w:rsidP="00D4710E">
      <w:pPr>
        <w:pStyle w:val="Prrafodelista"/>
        <w:spacing w:line="276" w:lineRule="auto"/>
        <w:jc w:val="both"/>
        <w:rPr>
          <w:rFonts w:asciiTheme="majorHAnsi" w:hAnsiTheme="majorHAnsi" w:cstheme="majorHAnsi"/>
          <w:sz w:val="24"/>
          <w:u w:val="single"/>
        </w:rPr>
      </w:pPr>
    </w:p>
    <w:p w14:paraId="52EE7A52" w14:textId="11AA3161" w:rsidR="00945DEE" w:rsidRPr="00F3311F" w:rsidRDefault="00FA5626"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La volatilid</w:t>
      </w:r>
      <w:r w:rsidR="00DD0E96">
        <w:rPr>
          <w:rFonts w:asciiTheme="majorHAnsi" w:hAnsiTheme="majorHAnsi" w:cstheme="majorHAnsi"/>
          <w:sz w:val="24"/>
        </w:rPr>
        <w:t>ad de los precios hace necesario</w:t>
      </w:r>
      <w:r w:rsidRPr="00F3311F">
        <w:rPr>
          <w:rFonts w:asciiTheme="majorHAnsi" w:hAnsiTheme="majorHAnsi" w:cstheme="majorHAnsi"/>
          <w:sz w:val="24"/>
        </w:rPr>
        <w:t xml:space="preserve"> esfuerzos para diversifica</w:t>
      </w:r>
      <w:r w:rsidR="00091A71" w:rsidRPr="00F3311F">
        <w:rPr>
          <w:rFonts w:asciiTheme="majorHAnsi" w:hAnsiTheme="majorHAnsi" w:cstheme="majorHAnsi"/>
          <w:sz w:val="24"/>
        </w:rPr>
        <w:t>r las actividades agrícolas y las fuentes de ingresos. El Desarrollo rural y las intervenciones sectoriales se utilizan para que</w:t>
      </w:r>
      <w:r w:rsidR="00DD0E96">
        <w:rPr>
          <w:rFonts w:asciiTheme="majorHAnsi" w:hAnsiTheme="majorHAnsi" w:cstheme="majorHAnsi"/>
          <w:sz w:val="24"/>
        </w:rPr>
        <w:t>,</w:t>
      </w:r>
      <w:r w:rsidR="00091A71" w:rsidRPr="00F3311F">
        <w:rPr>
          <w:rFonts w:asciiTheme="majorHAnsi" w:hAnsiTheme="majorHAnsi" w:cstheme="majorHAnsi"/>
          <w:sz w:val="24"/>
        </w:rPr>
        <w:t xml:space="preserve"> agricultores e industria</w:t>
      </w:r>
      <w:r w:rsidR="00DD0E96">
        <w:rPr>
          <w:rFonts w:asciiTheme="majorHAnsi" w:hAnsiTheme="majorHAnsi" w:cstheme="majorHAnsi"/>
          <w:sz w:val="24"/>
        </w:rPr>
        <w:t>,</w:t>
      </w:r>
      <w:r w:rsidR="00091A71" w:rsidRPr="00F3311F">
        <w:rPr>
          <w:rFonts w:asciiTheme="majorHAnsi" w:hAnsiTheme="majorHAnsi" w:cstheme="majorHAnsi"/>
          <w:sz w:val="24"/>
        </w:rPr>
        <w:t xml:space="preserve"> respondan a las demandas</w:t>
      </w:r>
      <w:r w:rsidRPr="00F3311F">
        <w:rPr>
          <w:rFonts w:asciiTheme="majorHAnsi" w:hAnsiTheme="majorHAnsi" w:cstheme="majorHAnsi"/>
          <w:sz w:val="24"/>
        </w:rPr>
        <w:t xml:space="preserve"> </w:t>
      </w:r>
      <w:r w:rsidR="00091A71" w:rsidRPr="00F3311F">
        <w:rPr>
          <w:rFonts w:asciiTheme="majorHAnsi" w:hAnsiTheme="majorHAnsi" w:cstheme="majorHAnsi"/>
          <w:sz w:val="24"/>
        </w:rPr>
        <w:t>y desarrollo de nuevos mercados para agricultura ecológica, productos de calidad diferenciada, producción bioenergética, gestión del desperdicio, cadenas de valor cortas, industrias locales o cualquier otro  segmento especifico</w:t>
      </w:r>
      <w:r w:rsidR="00DD0E96">
        <w:rPr>
          <w:rFonts w:asciiTheme="majorHAnsi" w:hAnsiTheme="majorHAnsi" w:cstheme="majorHAnsi"/>
          <w:sz w:val="24"/>
        </w:rPr>
        <w:t>,</w:t>
      </w:r>
      <w:r w:rsidR="00091A71" w:rsidRPr="00F3311F">
        <w:rPr>
          <w:rFonts w:asciiTheme="majorHAnsi" w:hAnsiTheme="majorHAnsi" w:cstheme="majorHAnsi"/>
          <w:sz w:val="24"/>
        </w:rPr>
        <w:t xml:space="preserve"> así</w:t>
      </w:r>
      <w:r w:rsidR="00DD0E96">
        <w:rPr>
          <w:rFonts w:asciiTheme="majorHAnsi" w:hAnsiTheme="majorHAnsi" w:cstheme="majorHAnsi"/>
          <w:sz w:val="24"/>
        </w:rPr>
        <w:t>,</w:t>
      </w:r>
      <w:r w:rsidR="00091A71" w:rsidRPr="00F3311F">
        <w:rPr>
          <w:rFonts w:asciiTheme="majorHAnsi" w:hAnsiTheme="majorHAnsi" w:cstheme="majorHAnsi"/>
          <w:sz w:val="24"/>
        </w:rPr>
        <w:t xml:space="preserve"> como actividades no agrícola</w:t>
      </w:r>
      <w:r w:rsidR="00DD0E96">
        <w:rPr>
          <w:rFonts w:asciiTheme="majorHAnsi" w:hAnsiTheme="majorHAnsi" w:cstheme="majorHAnsi"/>
          <w:sz w:val="24"/>
        </w:rPr>
        <w:t>s</w:t>
      </w:r>
      <w:r w:rsidR="00091A71" w:rsidRPr="00F3311F">
        <w:rPr>
          <w:rFonts w:asciiTheme="majorHAnsi" w:hAnsiTheme="majorHAnsi" w:cstheme="majorHAnsi"/>
          <w:sz w:val="24"/>
        </w:rPr>
        <w:t>. Describe</w:t>
      </w:r>
      <w:r w:rsidR="003D7B02">
        <w:rPr>
          <w:rFonts w:asciiTheme="majorHAnsi" w:hAnsiTheme="majorHAnsi" w:cstheme="majorHAnsi"/>
          <w:sz w:val="24"/>
        </w:rPr>
        <w:t>,</w:t>
      </w:r>
      <w:r w:rsidR="00091A71" w:rsidRPr="00F3311F">
        <w:rPr>
          <w:rFonts w:asciiTheme="majorHAnsi" w:hAnsiTheme="majorHAnsi" w:cstheme="majorHAnsi"/>
          <w:sz w:val="24"/>
        </w:rPr>
        <w:t xml:space="preserve"> algunos  de los ejemplos</w:t>
      </w:r>
      <w:r w:rsidR="003D7B02">
        <w:rPr>
          <w:rFonts w:asciiTheme="majorHAnsi" w:hAnsiTheme="majorHAnsi" w:cstheme="majorHAnsi"/>
          <w:sz w:val="24"/>
        </w:rPr>
        <w:t>,</w:t>
      </w:r>
      <w:r w:rsidR="00091A71" w:rsidRPr="00F3311F">
        <w:rPr>
          <w:rFonts w:asciiTheme="majorHAnsi" w:hAnsiTheme="majorHAnsi" w:cstheme="majorHAnsi"/>
          <w:sz w:val="24"/>
        </w:rPr>
        <w:t xml:space="preserve"> sobre como los agricultores pueden beneficiarse de segmentos de producción de mayor valor añadido con herramientas de la PAC.</w:t>
      </w:r>
    </w:p>
    <w:p w14:paraId="3684EAAF" w14:textId="77777777" w:rsidR="004D7747" w:rsidRPr="00F3311F" w:rsidRDefault="004D7747" w:rsidP="00D4710E">
      <w:pPr>
        <w:pStyle w:val="Prrafodelista"/>
        <w:spacing w:line="276" w:lineRule="auto"/>
        <w:jc w:val="both"/>
        <w:rPr>
          <w:rFonts w:asciiTheme="majorHAnsi" w:hAnsiTheme="majorHAnsi" w:cstheme="majorHAnsi"/>
          <w:sz w:val="24"/>
        </w:rPr>
      </w:pPr>
    </w:p>
    <w:p w14:paraId="2308A962" w14:textId="52AABBB5" w:rsidR="00091A71" w:rsidRPr="00F3311F" w:rsidRDefault="00091A71" w:rsidP="00D4710E">
      <w:pPr>
        <w:pStyle w:val="Prrafodelista"/>
        <w:spacing w:line="276" w:lineRule="auto"/>
        <w:jc w:val="both"/>
        <w:rPr>
          <w:rFonts w:asciiTheme="majorHAnsi" w:hAnsiTheme="majorHAnsi" w:cstheme="majorHAnsi"/>
          <w:sz w:val="24"/>
        </w:rPr>
      </w:pPr>
      <w:r w:rsidRPr="00F97180">
        <w:rPr>
          <w:rFonts w:asciiTheme="majorHAnsi" w:hAnsiTheme="majorHAnsi" w:cstheme="majorHAnsi"/>
          <w:b/>
          <w:i/>
          <w:sz w:val="24"/>
        </w:rPr>
        <w:t>Indicaciones Geográficas</w:t>
      </w:r>
      <w:r w:rsidRPr="00F3311F">
        <w:rPr>
          <w:rFonts w:asciiTheme="majorHAnsi" w:hAnsiTheme="majorHAnsi" w:cstheme="majorHAnsi"/>
          <w:sz w:val="24"/>
        </w:rPr>
        <w:t xml:space="preserve"> Esta</w:t>
      </w:r>
      <w:r w:rsidR="003D7B02">
        <w:rPr>
          <w:rFonts w:asciiTheme="majorHAnsi" w:hAnsiTheme="majorHAnsi" w:cstheme="majorHAnsi"/>
          <w:sz w:val="24"/>
        </w:rPr>
        <w:t>s</w:t>
      </w:r>
      <w:r w:rsidRPr="00F3311F">
        <w:rPr>
          <w:rFonts w:asciiTheme="majorHAnsi" w:hAnsiTheme="majorHAnsi" w:cstheme="majorHAnsi"/>
          <w:sz w:val="24"/>
        </w:rPr>
        <w:t xml:space="preserve"> figuras  son una de las grandes fortalezas de la UE, representan la calidad y diversidad de los productos de la </w:t>
      </w:r>
      <w:r w:rsidR="00A51CE8" w:rsidRPr="00F3311F">
        <w:rPr>
          <w:rFonts w:asciiTheme="majorHAnsi" w:hAnsiTheme="majorHAnsi" w:cstheme="majorHAnsi"/>
          <w:sz w:val="24"/>
        </w:rPr>
        <w:t>UE</w:t>
      </w:r>
      <w:r w:rsidR="003D7B02">
        <w:rPr>
          <w:rFonts w:asciiTheme="majorHAnsi" w:hAnsiTheme="majorHAnsi" w:cstheme="majorHAnsi"/>
          <w:sz w:val="24"/>
        </w:rPr>
        <w:t>,</w:t>
      </w:r>
      <w:r w:rsidRPr="00F3311F">
        <w:rPr>
          <w:rFonts w:asciiTheme="majorHAnsi" w:hAnsiTheme="majorHAnsi" w:cstheme="majorHAnsi"/>
          <w:sz w:val="24"/>
        </w:rPr>
        <w:t xml:space="preserve"> proporciona una ventaja competitiva a sus productores y hace una contribución  importante a la herencia cultura</w:t>
      </w:r>
      <w:r w:rsidR="009F6548" w:rsidRPr="00F3311F">
        <w:rPr>
          <w:rFonts w:asciiTheme="majorHAnsi" w:hAnsiTheme="majorHAnsi" w:cstheme="majorHAnsi"/>
          <w:sz w:val="24"/>
        </w:rPr>
        <w:t>l</w:t>
      </w:r>
      <w:r w:rsidRPr="00F3311F">
        <w:rPr>
          <w:rFonts w:asciiTheme="majorHAnsi" w:hAnsiTheme="majorHAnsi" w:cstheme="majorHAnsi"/>
          <w:sz w:val="24"/>
        </w:rPr>
        <w:t xml:space="preserve"> y gastronómica. Estos productos suponen un 5,7% de la producción de alimentos y bebidas de la UE y un 15% de las exportaciones de alimentos y bebidas. </w:t>
      </w:r>
    </w:p>
    <w:p w14:paraId="242C1F28" w14:textId="7AEFDE8D" w:rsidR="004D7747" w:rsidRPr="00F3311F" w:rsidRDefault="004D7747"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 xml:space="preserve">Estos modelos pueden beneficiar a la economía rural, especialmente a las zonas con dificultades especiales, zonas de montaña y regiones </w:t>
      </w:r>
      <w:proofErr w:type="spellStart"/>
      <w:r w:rsidRPr="00F3311F">
        <w:rPr>
          <w:rFonts w:asciiTheme="majorHAnsi" w:hAnsiTheme="majorHAnsi" w:cstheme="majorHAnsi"/>
          <w:sz w:val="24"/>
        </w:rPr>
        <w:t>ultraperiféricas</w:t>
      </w:r>
      <w:proofErr w:type="spellEnd"/>
      <w:r w:rsidRPr="00F3311F">
        <w:rPr>
          <w:rFonts w:asciiTheme="majorHAnsi" w:hAnsiTheme="majorHAnsi" w:cstheme="majorHAnsi"/>
          <w:sz w:val="24"/>
        </w:rPr>
        <w:t xml:space="preserve"> donde el sector agrícola es una parte importante de la economía y los costes de producción son elevados. Pueden crear valor en las comunidades locales con productos muy arraigados en la tradición</w:t>
      </w:r>
      <w:r w:rsidR="003D7B02">
        <w:rPr>
          <w:rFonts w:asciiTheme="majorHAnsi" w:hAnsiTheme="majorHAnsi" w:cstheme="majorHAnsi"/>
          <w:sz w:val="24"/>
        </w:rPr>
        <w:t>,</w:t>
      </w:r>
      <w:r w:rsidRPr="00F3311F">
        <w:rPr>
          <w:rFonts w:asciiTheme="majorHAnsi" w:hAnsiTheme="majorHAnsi" w:cstheme="majorHAnsi"/>
          <w:sz w:val="24"/>
        </w:rPr>
        <w:t xml:space="preserve"> la cultura y la geografía.</w:t>
      </w:r>
    </w:p>
    <w:p w14:paraId="094F5C9C" w14:textId="69879D1B" w:rsidR="004D7747" w:rsidRPr="00F3311F" w:rsidRDefault="00091A71" w:rsidP="00D4710E">
      <w:pPr>
        <w:pStyle w:val="Prrafodelista"/>
        <w:spacing w:line="276" w:lineRule="auto"/>
        <w:jc w:val="both"/>
        <w:rPr>
          <w:rFonts w:asciiTheme="majorHAnsi" w:hAnsiTheme="majorHAnsi" w:cstheme="majorHAnsi"/>
          <w:sz w:val="24"/>
        </w:rPr>
      </w:pPr>
      <w:r w:rsidRPr="00F97180">
        <w:rPr>
          <w:rFonts w:asciiTheme="majorHAnsi" w:hAnsiTheme="majorHAnsi" w:cstheme="majorHAnsi"/>
          <w:b/>
          <w:i/>
          <w:sz w:val="24"/>
        </w:rPr>
        <w:lastRenderedPageBreak/>
        <w:t>Producción ecológica</w:t>
      </w:r>
      <w:r w:rsidR="00F97180">
        <w:rPr>
          <w:rFonts w:asciiTheme="majorHAnsi" w:hAnsiTheme="majorHAnsi" w:cstheme="majorHAnsi"/>
          <w:i/>
          <w:sz w:val="24"/>
        </w:rPr>
        <w:t xml:space="preserve">: </w:t>
      </w:r>
      <w:r w:rsidR="00992D49" w:rsidRPr="00F3311F">
        <w:rPr>
          <w:rFonts w:asciiTheme="majorHAnsi" w:hAnsiTheme="majorHAnsi" w:cstheme="majorHAnsi"/>
          <w:noProof/>
          <w:sz w:val="24"/>
          <w:lang w:eastAsia="es-ES"/>
        </w:rPr>
        <mc:AlternateContent>
          <mc:Choice Requires="wps">
            <w:drawing>
              <wp:anchor distT="45720" distB="45720" distL="114300" distR="114300" simplePos="0" relativeHeight="251673600" behindDoc="0" locked="0" layoutInCell="1" allowOverlap="1" wp14:anchorId="06BE2C8D" wp14:editId="75BFFED7">
                <wp:simplePos x="0" y="0"/>
                <wp:positionH relativeFrom="column">
                  <wp:posOffset>453896</wp:posOffset>
                </wp:positionH>
                <wp:positionV relativeFrom="paragraph">
                  <wp:posOffset>1375969</wp:posOffset>
                </wp:positionV>
                <wp:extent cx="5112630" cy="2809944"/>
                <wp:effectExtent l="0" t="0" r="12065"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630" cy="2809944"/>
                        </a:xfrm>
                        <a:prstGeom prst="rect">
                          <a:avLst/>
                        </a:prstGeom>
                        <a:solidFill>
                          <a:srgbClr val="FFFFFF"/>
                        </a:solidFill>
                        <a:ln w="9525">
                          <a:solidFill>
                            <a:srgbClr val="000000"/>
                          </a:solidFill>
                          <a:miter lim="800000"/>
                          <a:headEnd/>
                          <a:tailEnd/>
                        </a:ln>
                      </wps:spPr>
                      <wps:txbx>
                        <w:txbxContent>
                          <w:p w14:paraId="03660692" w14:textId="149C5508" w:rsidR="00BC04DA" w:rsidRDefault="00BC04DA">
                            <w:r>
                              <w:rPr>
                                <w:noProof/>
                                <w:lang w:val="es-ES"/>
                              </w:rPr>
                              <w:drawing>
                                <wp:inline distT="0" distB="0" distL="0" distR="0" wp14:anchorId="4C76E235" wp14:editId="7D847BCB">
                                  <wp:extent cx="4838978" cy="28039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49" t="18297" r="33147" b="46262"/>
                                          <a:stretch/>
                                        </pic:blipFill>
                                        <pic:spPr bwMode="auto">
                                          <a:xfrm>
                                            <a:off x="0" y="0"/>
                                            <a:ext cx="4905076" cy="28422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E2C8D" id="_x0000_s1031" type="#_x0000_t202" style="position:absolute;left:0;text-align:left;margin-left:35.75pt;margin-top:108.35pt;width:402.55pt;height:22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">
                <v:textbox>
                  <w:txbxContent>
                    <w:p w14:paraId="03660692" w14:textId="149C5508" w:rsidR="00BC04DA" w:rsidRDefault="00BC04DA">
                      <w:r>
                        <w:rPr>
                          <w:noProof/>
                          <w:lang w:val="es-ES"/>
                        </w:rPr>
                        <w:drawing>
                          <wp:inline distT="0" distB="0" distL="0" distR="0" wp14:anchorId="4C76E235" wp14:editId="7D847BCB">
                            <wp:extent cx="4838978" cy="28039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49" t="18297" r="33147" b="46262"/>
                                    <a:stretch/>
                                  </pic:blipFill>
                                  <pic:spPr bwMode="auto">
                                    <a:xfrm>
                                      <a:off x="0" y="0"/>
                                      <a:ext cx="4905076" cy="284229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D7747" w:rsidRPr="00F3311F">
        <w:rPr>
          <w:rFonts w:asciiTheme="majorHAnsi" w:hAnsiTheme="majorHAnsi" w:cstheme="majorHAnsi"/>
          <w:sz w:val="24"/>
        </w:rPr>
        <w:t xml:space="preserve">La agricultura ecológica europea se caracteriza por su constante crecimiento. </w:t>
      </w:r>
      <w:r w:rsidR="004A1C7F" w:rsidRPr="00F3311F">
        <w:rPr>
          <w:rFonts w:asciiTheme="majorHAnsi" w:hAnsiTheme="majorHAnsi" w:cstheme="majorHAnsi"/>
          <w:sz w:val="24"/>
        </w:rPr>
        <w:t xml:space="preserve">Responde al incremento de demanda  de alimentos “más naturales” y medioambientalmente sostenibles. Destaca  el reparto de valor en la formación de precios de productos ecológicos está entre un 9% y un 62% de los precios de distribución mientras que en las cadenas convencionales está entre un 6 y un 40%. </w:t>
      </w:r>
    </w:p>
    <w:p w14:paraId="6E92AE9E" w14:textId="5123BF8A" w:rsidR="004A1C7F" w:rsidRPr="00F3311F" w:rsidRDefault="004A1C7F"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Esto supone un mayor valor añadido de los productos de agricultura ecológica, aunque no se han considerado los incrementos en los costes y solo representaría una indicación aproximada del valor añadido</w:t>
      </w:r>
      <w:r w:rsidR="00633F84" w:rsidRPr="00F3311F">
        <w:rPr>
          <w:rFonts w:asciiTheme="majorHAnsi" w:hAnsiTheme="majorHAnsi" w:cstheme="majorHAnsi"/>
          <w:sz w:val="24"/>
        </w:rPr>
        <w:t>.</w:t>
      </w:r>
    </w:p>
    <w:p w14:paraId="62D669D6" w14:textId="1321DB4B" w:rsidR="00633F84" w:rsidRPr="00F3311F" w:rsidRDefault="00992D49"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noProof/>
          <w:sz w:val="24"/>
          <w:lang w:eastAsia="es-ES"/>
        </w:rPr>
        <mc:AlternateContent>
          <mc:Choice Requires="wps">
            <w:drawing>
              <wp:anchor distT="45720" distB="45720" distL="114300" distR="114300" simplePos="0" relativeHeight="251675648" behindDoc="0" locked="0" layoutInCell="1" allowOverlap="1" wp14:anchorId="1BC58598" wp14:editId="3E8AFECC">
                <wp:simplePos x="0" y="0"/>
                <wp:positionH relativeFrom="column">
                  <wp:posOffset>448310</wp:posOffset>
                </wp:positionH>
                <wp:positionV relativeFrom="paragraph">
                  <wp:posOffset>857885</wp:posOffset>
                </wp:positionV>
                <wp:extent cx="5009515" cy="2662555"/>
                <wp:effectExtent l="0" t="0" r="19685" b="2349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515" cy="2662555"/>
                        </a:xfrm>
                        <a:prstGeom prst="rect">
                          <a:avLst/>
                        </a:prstGeom>
                        <a:solidFill>
                          <a:srgbClr val="FFFFFF"/>
                        </a:solidFill>
                        <a:ln w="9525">
                          <a:solidFill>
                            <a:srgbClr val="000000"/>
                          </a:solidFill>
                          <a:miter lim="800000"/>
                          <a:headEnd/>
                          <a:tailEnd/>
                        </a:ln>
                      </wps:spPr>
                      <wps:txbx>
                        <w:txbxContent>
                          <w:p w14:paraId="5E8E11E1" w14:textId="4495F74E" w:rsidR="00BC04DA" w:rsidRDefault="00BC04DA">
                            <w:r>
                              <w:rPr>
                                <w:noProof/>
                                <w:lang w:val="es-ES"/>
                              </w:rPr>
                              <w:drawing>
                                <wp:inline distT="0" distB="0" distL="0" distR="0" wp14:anchorId="483D40AE" wp14:editId="7015E64C">
                                  <wp:extent cx="4812280" cy="259495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14" t="51838" r="33609" b="15591"/>
                                          <a:stretch/>
                                        </pic:blipFill>
                                        <pic:spPr bwMode="auto">
                                          <a:xfrm>
                                            <a:off x="0" y="0"/>
                                            <a:ext cx="4865444" cy="26236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8598" id="_x0000_s1032" type="#_x0000_t202" style="position:absolute;left:0;text-align:left;margin-left:35.3pt;margin-top:67.55pt;width:394.45pt;height:209.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">
                <v:textbox>
                  <w:txbxContent>
                    <w:p w14:paraId="5E8E11E1" w14:textId="4495F74E" w:rsidR="00BC04DA" w:rsidRDefault="00BC04DA">
                      <w:r>
                        <w:rPr>
                          <w:noProof/>
                          <w:lang w:val="es-ES"/>
                        </w:rPr>
                        <w:drawing>
                          <wp:inline distT="0" distB="0" distL="0" distR="0" wp14:anchorId="483D40AE" wp14:editId="7015E64C">
                            <wp:extent cx="4812280" cy="259495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14" t="51838" r="33609" b="15591"/>
                                    <a:stretch/>
                                  </pic:blipFill>
                                  <pic:spPr bwMode="auto">
                                    <a:xfrm>
                                      <a:off x="0" y="0"/>
                                      <a:ext cx="4865444" cy="26236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D7B02">
        <w:rPr>
          <w:rFonts w:asciiTheme="majorHAnsi" w:hAnsiTheme="majorHAnsi" w:cstheme="majorHAnsi"/>
          <w:sz w:val="24"/>
        </w:rPr>
        <w:t>En l</w:t>
      </w:r>
      <w:r w:rsidR="00633F84" w:rsidRPr="00F3311F">
        <w:rPr>
          <w:rFonts w:asciiTheme="majorHAnsi" w:hAnsiTheme="majorHAnsi" w:cstheme="majorHAnsi"/>
          <w:sz w:val="24"/>
        </w:rPr>
        <w:t xml:space="preserve">a propuesta de PAC post 2020, la Comisión prioriza el aumento de compromisos climáticos y medioambientales. La agricultura ecológica jugaría un </w:t>
      </w:r>
      <w:r w:rsidR="00633F84" w:rsidRPr="00F3311F">
        <w:rPr>
          <w:rFonts w:asciiTheme="majorHAnsi" w:hAnsiTheme="majorHAnsi" w:cstheme="majorHAnsi"/>
          <w:sz w:val="24"/>
        </w:rPr>
        <w:lastRenderedPageBreak/>
        <w:t>papel importante, generando conocimiento, que mejore la comprensión de los beneficios que aportan, sistemas medioambientalmente sostenibles.</w:t>
      </w:r>
    </w:p>
    <w:p w14:paraId="4F717E72" w14:textId="55F6A579" w:rsidR="00633F84" w:rsidRPr="00F3311F" w:rsidRDefault="00633F84" w:rsidP="00D4710E">
      <w:pPr>
        <w:pStyle w:val="Prrafodelista"/>
        <w:spacing w:line="276" w:lineRule="auto"/>
        <w:jc w:val="both"/>
        <w:rPr>
          <w:rFonts w:asciiTheme="majorHAnsi" w:hAnsiTheme="majorHAnsi" w:cstheme="majorHAnsi"/>
          <w:sz w:val="24"/>
        </w:rPr>
      </w:pPr>
    </w:p>
    <w:p w14:paraId="0AE47B90" w14:textId="556B537A" w:rsidR="00091A71" w:rsidRPr="00F97180" w:rsidRDefault="00091A71" w:rsidP="00D4710E">
      <w:pPr>
        <w:pStyle w:val="Prrafodelista"/>
        <w:spacing w:line="276" w:lineRule="auto"/>
        <w:jc w:val="both"/>
        <w:rPr>
          <w:rFonts w:asciiTheme="majorHAnsi" w:hAnsiTheme="majorHAnsi" w:cstheme="majorHAnsi"/>
          <w:b/>
          <w:i/>
          <w:sz w:val="24"/>
        </w:rPr>
      </w:pPr>
      <w:r w:rsidRPr="00F97180">
        <w:rPr>
          <w:rFonts w:asciiTheme="majorHAnsi" w:hAnsiTheme="majorHAnsi" w:cstheme="majorHAnsi"/>
          <w:b/>
          <w:i/>
          <w:sz w:val="24"/>
        </w:rPr>
        <w:t>Sistemas locales y cadenas de producción cortas</w:t>
      </w:r>
    </w:p>
    <w:p w14:paraId="3C3E4B20" w14:textId="6180DBE3" w:rsidR="00992D49" w:rsidRPr="00F3311F" w:rsidRDefault="00992D49"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Se están desarrollando nuevas oportunidades relacionadas con el aumento del interés del consumidor en alimentos locales y cadenas de producción cortas. En cifras, aproximadamente un 15% de los productores agrícolas venden más de la mitad de la producción directamente a los consumidores. Pese a esto, la mayoría son explotaciones pequeñas (entre 1 y 8 UDE).</w:t>
      </w:r>
    </w:p>
    <w:p w14:paraId="7F61385F" w14:textId="0975EF50" w:rsidR="00A51CE8" w:rsidRPr="00F3311F" w:rsidRDefault="00A51CE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Dentro de las cadenas cortas, las ventas directas son las cadenas más cortas. Existe diferencias entre los países con un 25% de agricultores que participan en ventas directas en Grecia, un 19% en Eslovaquia y 18% en Hungría, Rumania y Estonia y un 5% en Malta, Austria y España.</w:t>
      </w:r>
    </w:p>
    <w:p w14:paraId="09BF6E7F" w14:textId="77777777" w:rsidR="00C344C3" w:rsidRPr="00F3311F" w:rsidRDefault="00C344C3"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Los enfoques compartidos se han mostrado como herramientas efectivas de desarrollo rural, de forma que puedan sustentar los elementos centrales de la economía rural sosteniblemente. Se pueden hacer conexiones fuertes entre agricultura, turismo y sector alimentario.</w:t>
      </w:r>
    </w:p>
    <w:p w14:paraId="3E6FCD17" w14:textId="4E284AA7" w:rsidR="00C344C3" w:rsidRPr="00F3311F" w:rsidRDefault="00C344C3"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 xml:space="preserve">Los negocios rurales  pueden beneficiarse también de las cadenas cortas, por ejemplo incrementando el reparto del valor añadido de los productos y generando y mayor reparto del empleo en zonas rurales. Menores eslabones suponen también ahorros para los clientes y hacer más sencillo conocer el origen de los productos. Las cadenas cortas  proporcionan beneficios sociales </w:t>
      </w:r>
      <w:proofErr w:type="spellStart"/>
      <w:r w:rsidRPr="00F3311F">
        <w:rPr>
          <w:rFonts w:asciiTheme="majorHAnsi" w:hAnsiTheme="majorHAnsi" w:cstheme="majorHAnsi"/>
          <w:sz w:val="24"/>
        </w:rPr>
        <w:t>revinculando</w:t>
      </w:r>
      <w:proofErr w:type="spellEnd"/>
      <w:r w:rsidRPr="00F3311F">
        <w:rPr>
          <w:rFonts w:asciiTheme="majorHAnsi" w:hAnsiTheme="majorHAnsi" w:cstheme="majorHAnsi"/>
          <w:sz w:val="24"/>
        </w:rPr>
        <w:t xml:space="preserve"> a agricultores y consumidores de forma que se revitalicen las comunidades locales</w:t>
      </w:r>
      <w:r w:rsidR="00A51CE8" w:rsidRPr="00F3311F">
        <w:rPr>
          <w:rFonts w:asciiTheme="majorHAnsi" w:hAnsiTheme="majorHAnsi" w:cstheme="majorHAnsi"/>
          <w:sz w:val="24"/>
        </w:rPr>
        <w:t>.</w:t>
      </w:r>
    </w:p>
    <w:p w14:paraId="1E1CB3BE" w14:textId="4C088EF5" w:rsidR="00A51CE8" w:rsidRPr="00F3311F" w:rsidRDefault="00A51CE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La herramienta LEADER, ofrece fondos para el desarrollo de cadenas cortas y mercados locales como forma de sus estrategias de desarrollo local.</w:t>
      </w:r>
    </w:p>
    <w:p w14:paraId="43C78AB2" w14:textId="2E9AE8A7" w:rsidR="00992D49" w:rsidRPr="00F3311F" w:rsidRDefault="00992D49" w:rsidP="00D4710E">
      <w:pPr>
        <w:pStyle w:val="Prrafodelista"/>
        <w:spacing w:line="276" w:lineRule="auto"/>
        <w:jc w:val="both"/>
        <w:rPr>
          <w:rFonts w:asciiTheme="majorHAnsi" w:hAnsiTheme="majorHAnsi" w:cstheme="majorHAnsi"/>
          <w:sz w:val="24"/>
        </w:rPr>
      </w:pPr>
    </w:p>
    <w:p w14:paraId="147AB99E" w14:textId="77777777" w:rsidR="00945DEE" w:rsidRPr="00C04B84" w:rsidRDefault="00945DEE" w:rsidP="000033C1">
      <w:pPr>
        <w:pStyle w:val="Prrafodelista"/>
        <w:numPr>
          <w:ilvl w:val="0"/>
          <w:numId w:val="3"/>
        </w:numPr>
        <w:spacing w:line="276" w:lineRule="auto"/>
        <w:jc w:val="both"/>
        <w:rPr>
          <w:rFonts w:asciiTheme="majorHAnsi" w:hAnsiTheme="majorHAnsi" w:cstheme="majorHAnsi"/>
          <w:b/>
          <w:sz w:val="24"/>
          <w:u w:val="single"/>
        </w:rPr>
      </w:pPr>
      <w:r w:rsidRPr="00C04B84">
        <w:rPr>
          <w:rFonts w:asciiTheme="majorHAnsi" w:hAnsiTheme="majorHAnsi" w:cstheme="majorHAnsi"/>
          <w:b/>
          <w:sz w:val="24"/>
          <w:u w:val="single"/>
        </w:rPr>
        <w:t>Potenciar la Investigación e Innovación</w:t>
      </w:r>
    </w:p>
    <w:p w14:paraId="2B8C879D" w14:textId="3400873D" w:rsidR="00A51CE8" w:rsidRDefault="00A51CE8" w:rsidP="00D4710E">
      <w:pPr>
        <w:pStyle w:val="Prrafodelista"/>
        <w:spacing w:line="276" w:lineRule="auto"/>
        <w:jc w:val="both"/>
        <w:rPr>
          <w:rFonts w:asciiTheme="majorHAnsi" w:hAnsiTheme="majorHAnsi" w:cstheme="majorHAnsi"/>
          <w:sz w:val="24"/>
        </w:rPr>
      </w:pPr>
      <w:r w:rsidRPr="00F3311F">
        <w:rPr>
          <w:rFonts w:asciiTheme="majorHAnsi" w:hAnsiTheme="majorHAnsi" w:cstheme="majorHAnsi"/>
          <w:sz w:val="24"/>
        </w:rPr>
        <w:t xml:space="preserve">Las cadenas tanto alimentarias como no alimentarias </w:t>
      </w:r>
      <w:r w:rsidR="003076D1" w:rsidRPr="00F3311F">
        <w:rPr>
          <w:rFonts w:asciiTheme="majorHAnsi" w:hAnsiTheme="majorHAnsi" w:cstheme="majorHAnsi"/>
          <w:sz w:val="24"/>
        </w:rPr>
        <w:t xml:space="preserve">funcionan </w:t>
      </w:r>
      <w:r w:rsidRPr="00F3311F">
        <w:rPr>
          <w:rFonts w:asciiTheme="majorHAnsi" w:hAnsiTheme="majorHAnsi" w:cstheme="majorHAnsi"/>
          <w:sz w:val="24"/>
        </w:rPr>
        <w:t>en medios complejos y dinámicos que se caracterizan por las nuevas demandas de los consumidores, tecnologías cambiantes, estructuras cambiantes y modos cooperativos. El uso de nuevos e innovadores modelos de negocio que apoyen las innovaciones o conecten al productor con el consumidor puede generar mayores ingresos para los productores</w:t>
      </w:r>
      <w:r w:rsidR="003076D1" w:rsidRPr="00F3311F">
        <w:rPr>
          <w:rFonts w:asciiTheme="majorHAnsi" w:hAnsiTheme="majorHAnsi" w:cstheme="majorHAnsi"/>
          <w:sz w:val="24"/>
        </w:rPr>
        <w:t>,</w:t>
      </w:r>
      <w:r w:rsidRPr="00F3311F">
        <w:rPr>
          <w:rFonts w:asciiTheme="majorHAnsi" w:hAnsiTheme="majorHAnsi" w:cstheme="majorHAnsi"/>
          <w:sz w:val="24"/>
        </w:rPr>
        <w:t xml:space="preserve"> a la vez que proporciona productos nutritivos, de calidad a precios asequibles</w:t>
      </w:r>
      <w:r w:rsidR="003076D1" w:rsidRPr="00F3311F">
        <w:rPr>
          <w:rFonts w:asciiTheme="majorHAnsi" w:hAnsiTheme="majorHAnsi" w:cstheme="majorHAnsi"/>
          <w:sz w:val="24"/>
        </w:rPr>
        <w:t>,</w:t>
      </w:r>
      <w:r w:rsidRPr="00F3311F">
        <w:rPr>
          <w:rFonts w:asciiTheme="majorHAnsi" w:hAnsiTheme="majorHAnsi" w:cstheme="majorHAnsi"/>
          <w:sz w:val="24"/>
        </w:rPr>
        <w:t xml:space="preserve"> </w:t>
      </w:r>
      <w:r w:rsidR="003076D1" w:rsidRPr="00F3311F">
        <w:rPr>
          <w:rFonts w:asciiTheme="majorHAnsi" w:hAnsiTheme="majorHAnsi" w:cstheme="majorHAnsi"/>
          <w:sz w:val="24"/>
        </w:rPr>
        <w:t>así</w:t>
      </w:r>
      <w:r w:rsidRPr="00F3311F">
        <w:rPr>
          <w:rFonts w:asciiTheme="majorHAnsi" w:hAnsiTheme="majorHAnsi" w:cstheme="majorHAnsi"/>
          <w:sz w:val="24"/>
        </w:rPr>
        <w:t xml:space="preserve"> como</w:t>
      </w:r>
      <w:r w:rsidR="003076D1" w:rsidRPr="00F3311F">
        <w:rPr>
          <w:rFonts w:asciiTheme="majorHAnsi" w:hAnsiTheme="majorHAnsi" w:cstheme="majorHAnsi"/>
          <w:sz w:val="24"/>
        </w:rPr>
        <w:t xml:space="preserve"> beneficios sociales y medioambientales.</w:t>
      </w:r>
    </w:p>
    <w:p w14:paraId="77C6A47B" w14:textId="77777777" w:rsidR="00C04B84" w:rsidRDefault="00C04B84" w:rsidP="00D4710E">
      <w:pPr>
        <w:pStyle w:val="Prrafodelista"/>
        <w:spacing w:line="276" w:lineRule="auto"/>
        <w:jc w:val="both"/>
        <w:rPr>
          <w:rFonts w:asciiTheme="majorHAnsi" w:hAnsiTheme="majorHAnsi" w:cstheme="majorHAnsi"/>
          <w:sz w:val="24"/>
        </w:rPr>
      </w:pPr>
    </w:p>
    <w:p w14:paraId="1AA0EB10" w14:textId="77777777" w:rsidR="00C04B84" w:rsidRPr="00F3311F" w:rsidRDefault="00C04B84" w:rsidP="00D4710E">
      <w:pPr>
        <w:pStyle w:val="Prrafodelista"/>
        <w:spacing w:line="276" w:lineRule="auto"/>
        <w:jc w:val="both"/>
        <w:rPr>
          <w:rFonts w:asciiTheme="majorHAnsi" w:hAnsiTheme="majorHAnsi" w:cstheme="majorHAnsi"/>
          <w:sz w:val="24"/>
        </w:rPr>
      </w:pPr>
    </w:p>
    <w:p w14:paraId="43D52796" w14:textId="77777777" w:rsidR="007266BA" w:rsidRPr="00F3311F" w:rsidRDefault="007266BA" w:rsidP="00D4710E">
      <w:pPr>
        <w:spacing w:line="276" w:lineRule="auto"/>
        <w:jc w:val="both"/>
        <w:rPr>
          <w:rFonts w:asciiTheme="majorHAnsi" w:hAnsiTheme="majorHAnsi" w:cstheme="majorHAnsi"/>
          <w:sz w:val="22"/>
        </w:rPr>
      </w:pPr>
    </w:p>
    <w:p w14:paraId="2BDA1B01" w14:textId="158B866A" w:rsidR="00421BB4" w:rsidRPr="00F3311F" w:rsidRDefault="00EB3B46" w:rsidP="00D4710E">
      <w:pPr>
        <w:pStyle w:val="Ttulo1"/>
        <w:numPr>
          <w:ilvl w:val="0"/>
          <w:numId w:val="1"/>
        </w:numPr>
        <w:spacing w:line="276" w:lineRule="auto"/>
        <w:rPr>
          <w:rFonts w:asciiTheme="majorHAnsi" w:hAnsiTheme="majorHAnsi" w:cstheme="majorHAnsi"/>
          <w:sz w:val="28"/>
        </w:rPr>
      </w:pPr>
      <w:bookmarkStart w:id="58" w:name="_Toc14695465"/>
      <w:r w:rsidRPr="00F3311F">
        <w:rPr>
          <w:rFonts w:asciiTheme="majorHAnsi" w:hAnsiTheme="majorHAnsi" w:cstheme="majorHAnsi"/>
          <w:sz w:val="28"/>
        </w:rPr>
        <w:lastRenderedPageBreak/>
        <w:t>Descripción</w:t>
      </w:r>
      <w:r w:rsidR="007A2D41" w:rsidRPr="00F3311F">
        <w:rPr>
          <w:rFonts w:asciiTheme="majorHAnsi" w:hAnsiTheme="majorHAnsi" w:cstheme="majorHAnsi"/>
          <w:sz w:val="28"/>
        </w:rPr>
        <w:t xml:space="preserve"> de</w:t>
      </w:r>
      <w:r w:rsidR="00421BB4" w:rsidRPr="00F3311F">
        <w:rPr>
          <w:rFonts w:asciiTheme="majorHAnsi" w:hAnsiTheme="majorHAnsi" w:cstheme="majorHAnsi"/>
          <w:sz w:val="28"/>
        </w:rPr>
        <w:t xml:space="preserve"> la situación de partida</w:t>
      </w:r>
      <w:bookmarkEnd w:id="58"/>
      <w:r w:rsidR="00421BB4" w:rsidRPr="00F3311F">
        <w:rPr>
          <w:rFonts w:asciiTheme="majorHAnsi" w:hAnsiTheme="majorHAnsi" w:cstheme="majorHAnsi"/>
          <w:sz w:val="28"/>
        </w:rPr>
        <w:t xml:space="preserve"> </w:t>
      </w:r>
    </w:p>
    <w:p w14:paraId="46AEC999" w14:textId="77777777" w:rsidR="007A2D41" w:rsidRPr="00F3311F" w:rsidRDefault="007A2D41" w:rsidP="00D4710E">
      <w:pPr>
        <w:spacing w:line="276" w:lineRule="auto"/>
        <w:jc w:val="both"/>
        <w:rPr>
          <w:rFonts w:asciiTheme="majorHAnsi" w:hAnsiTheme="majorHAnsi" w:cstheme="majorHAnsi"/>
          <w:sz w:val="22"/>
        </w:rPr>
      </w:pPr>
    </w:p>
    <w:p w14:paraId="576B5E9C" w14:textId="2F0E1197" w:rsidR="007849CD" w:rsidRPr="00F3311F" w:rsidRDefault="00B75CB9" w:rsidP="00D4710E">
      <w:pPr>
        <w:pStyle w:val="Ttulo2"/>
        <w:spacing w:line="276" w:lineRule="auto"/>
        <w:rPr>
          <w:rFonts w:asciiTheme="majorHAnsi" w:hAnsiTheme="majorHAnsi" w:cstheme="majorHAnsi"/>
          <w:sz w:val="28"/>
        </w:rPr>
      </w:pPr>
      <w:bookmarkStart w:id="59" w:name="_Toc14695466"/>
      <w:r>
        <w:rPr>
          <w:rFonts w:asciiTheme="majorHAnsi" w:hAnsiTheme="majorHAnsi" w:cstheme="majorHAnsi"/>
          <w:sz w:val="28"/>
        </w:rPr>
        <w:t>3.1</w:t>
      </w:r>
      <w:r w:rsidR="007849CD" w:rsidRPr="00F3311F">
        <w:rPr>
          <w:rFonts w:asciiTheme="majorHAnsi" w:hAnsiTheme="majorHAnsi" w:cstheme="majorHAnsi"/>
          <w:sz w:val="28"/>
        </w:rPr>
        <w:t xml:space="preserve"> Consideraciones generales de la cadena Alimentaria</w:t>
      </w:r>
      <w:bookmarkEnd w:id="59"/>
      <w:r w:rsidR="007849CD" w:rsidRPr="00F3311F">
        <w:rPr>
          <w:rFonts w:asciiTheme="majorHAnsi" w:hAnsiTheme="majorHAnsi" w:cstheme="majorHAnsi"/>
          <w:sz w:val="28"/>
        </w:rPr>
        <w:t xml:space="preserve"> </w:t>
      </w:r>
    </w:p>
    <w:p w14:paraId="11C12544" w14:textId="77777777" w:rsidR="007849CD" w:rsidRPr="00F3311F" w:rsidRDefault="007849CD" w:rsidP="00D4710E">
      <w:pPr>
        <w:spacing w:line="276" w:lineRule="auto"/>
        <w:jc w:val="both"/>
        <w:rPr>
          <w:rFonts w:asciiTheme="majorHAnsi" w:hAnsiTheme="majorHAnsi" w:cstheme="majorHAnsi"/>
          <w:sz w:val="22"/>
        </w:rPr>
      </w:pPr>
    </w:p>
    <w:p w14:paraId="4D1972A5" w14:textId="105A24D4" w:rsidR="007849CD" w:rsidRDefault="00140D17" w:rsidP="000033C1">
      <w:pPr>
        <w:pStyle w:val="Prrafodelista"/>
        <w:numPr>
          <w:ilvl w:val="0"/>
          <w:numId w:val="9"/>
        </w:numPr>
        <w:spacing w:after="240" w:line="276" w:lineRule="auto"/>
        <w:ind w:left="1701"/>
        <w:jc w:val="both"/>
        <w:rPr>
          <w:rFonts w:asciiTheme="majorHAnsi" w:hAnsiTheme="majorHAnsi" w:cstheme="majorHAnsi"/>
          <w:b/>
          <w:sz w:val="24"/>
          <w:szCs w:val="18"/>
        </w:rPr>
      </w:pPr>
      <w:r w:rsidRPr="00F3311F">
        <w:rPr>
          <w:rFonts w:asciiTheme="majorHAnsi" w:hAnsiTheme="majorHAnsi" w:cstheme="majorHAnsi"/>
          <w:b/>
          <w:sz w:val="24"/>
          <w:szCs w:val="18"/>
        </w:rPr>
        <w:t>I</w:t>
      </w:r>
      <w:r w:rsidR="007849CD" w:rsidRPr="00F3311F">
        <w:rPr>
          <w:rFonts w:asciiTheme="majorHAnsi" w:hAnsiTheme="majorHAnsi" w:cstheme="majorHAnsi"/>
          <w:b/>
          <w:sz w:val="24"/>
          <w:szCs w:val="18"/>
        </w:rPr>
        <w:t xml:space="preserve">mportancia económica y social </w:t>
      </w:r>
    </w:p>
    <w:p w14:paraId="39A8253E" w14:textId="03EE3113" w:rsidR="00907754" w:rsidRPr="00907754" w:rsidRDefault="00907754" w:rsidP="00D4710E">
      <w:pPr>
        <w:spacing w:after="120" w:line="276" w:lineRule="auto"/>
        <w:jc w:val="both"/>
        <w:rPr>
          <w:rFonts w:asciiTheme="majorHAnsi" w:eastAsiaTheme="minorHAnsi" w:hAnsiTheme="majorHAnsi" w:cstheme="majorHAnsi"/>
          <w:sz w:val="24"/>
          <w:szCs w:val="24"/>
          <w:lang w:val="es-ES" w:eastAsia="en-US"/>
        </w:rPr>
      </w:pPr>
      <w:r w:rsidRPr="00907754">
        <w:rPr>
          <w:rFonts w:asciiTheme="majorHAnsi" w:eastAsiaTheme="minorHAnsi" w:hAnsiTheme="majorHAnsi" w:cstheme="majorHAnsi"/>
          <w:sz w:val="24"/>
          <w:szCs w:val="24"/>
          <w:lang w:val="es-ES" w:eastAsia="en-US"/>
        </w:rPr>
        <w:t>El sistema agroalimentario, en el que se integra la cadena alimentaria, está formado por un conjunto de actividades económicas que posibilitan atender la demanda de alimentos de la sociedad en tiempo, cantidad y calidad suficiente. Por tanto, y en sentido amplio, se considera que el sistema está compuesto por un conjunto de fases que comprenden desde la producción primaria y la industria de transformación, junto con la industria de insumos que las abastece, hasta el transporte y la distribución de todos sus productos.</w:t>
      </w:r>
    </w:p>
    <w:p w14:paraId="3E04EBC5" w14:textId="33EE787F" w:rsidR="00907754" w:rsidRPr="00907754" w:rsidRDefault="00907754" w:rsidP="00D4710E">
      <w:pPr>
        <w:spacing w:after="120" w:line="276" w:lineRule="auto"/>
        <w:jc w:val="both"/>
        <w:rPr>
          <w:rFonts w:asciiTheme="majorHAnsi" w:eastAsiaTheme="minorHAnsi" w:hAnsiTheme="majorHAnsi" w:cstheme="majorHAnsi"/>
          <w:sz w:val="24"/>
          <w:szCs w:val="24"/>
          <w:lang w:val="es-ES" w:eastAsia="en-US"/>
        </w:rPr>
      </w:pPr>
      <w:r w:rsidRPr="00907754">
        <w:rPr>
          <w:rFonts w:asciiTheme="majorHAnsi" w:eastAsiaTheme="minorHAnsi" w:hAnsiTheme="majorHAnsi" w:cstheme="majorHAnsi"/>
          <w:sz w:val="24"/>
          <w:szCs w:val="24"/>
          <w:lang w:val="es-ES" w:eastAsia="en-US"/>
        </w:rPr>
        <w:t xml:space="preserve">En términos de empleo, se estima que el sistema agroalimentario español ha ocupado en 2016 a </w:t>
      </w:r>
      <w:r w:rsidRPr="00907754">
        <w:rPr>
          <w:rFonts w:asciiTheme="majorHAnsi" w:eastAsiaTheme="minorHAnsi" w:hAnsiTheme="majorHAnsi" w:cstheme="majorHAnsi"/>
          <w:b/>
          <w:sz w:val="24"/>
          <w:szCs w:val="24"/>
          <w:lang w:val="es-ES" w:eastAsia="en-US"/>
        </w:rPr>
        <w:t>2,6 millones de personas</w:t>
      </w:r>
      <w:r w:rsidRPr="00907754">
        <w:rPr>
          <w:rFonts w:asciiTheme="majorHAnsi" w:eastAsiaTheme="minorHAnsi" w:hAnsiTheme="majorHAnsi" w:cstheme="majorHAnsi"/>
          <w:sz w:val="24"/>
          <w:szCs w:val="24"/>
          <w:lang w:val="es-ES" w:eastAsia="en-US"/>
        </w:rPr>
        <w:t>, erigiéndose la fase de distribución como la más importante con más de un millón de ocupados, seguida por las fases de producción e industria agroalimentaria, con 712.000 y 462.000 ocupados, respectivamente.</w:t>
      </w:r>
    </w:p>
    <w:p w14:paraId="6A5E56D1" w14:textId="7136B39D" w:rsidR="00907754" w:rsidRPr="00907754" w:rsidRDefault="00907754" w:rsidP="00D4710E">
      <w:pPr>
        <w:spacing w:after="120" w:line="276" w:lineRule="auto"/>
        <w:jc w:val="both"/>
        <w:rPr>
          <w:rFonts w:asciiTheme="majorHAnsi" w:eastAsiaTheme="minorHAnsi" w:hAnsiTheme="majorHAnsi" w:cstheme="majorHAnsi"/>
          <w:sz w:val="24"/>
          <w:szCs w:val="24"/>
          <w:lang w:val="es-ES" w:eastAsia="en-US"/>
        </w:rPr>
      </w:pPr>
      <w:r w:rsidRPr="00907754">
        <w:rPr>
          <w:rFonts w:asciiTheme="majorHAnsi" w:eastAsiaTheme="minorHAnsi" w:hAnsiTheme="majorHAnsi" w:cstheme="majorHAnsi"/>
          <w:sz w:val="24"/>
          <w:szCs w:val="24"/>
          <w:lang w:val="es-ES" w:eastAsia="en-US"/>
        </w:rPr>
        <w:t>Por otro lado, la cuantificación del Valor Añadido Bruto (VAB) del sistema agroalimentario permite estudiar al sector agrario en relación al resto de sectores económicos. Además, por su carácter aditivo, es una magnitud que permite configurar el VAB del sistema agroalimentario a partir de cada una de las actividades económicas que lo integran.</w:t>
      </w:r>
    </w:p>
    <w:p w14:paraId="43BE2B75" w14:textId="14E6977A" w:rsidR="00130A92" w:rsidRDefault="00907754" w:rsidP="00D4710E">
      <w:pPr>
        <w:spacing w:after="120" w:line="276" w:lineRule="auto"/>
        <w:jc w:val="both"/>
        <w:rPr>
          <w:rFonts w:asciiTheme="majorHAnsi" w:eastAsiaTheme="minorHAnsi" w:hAnsiTheme="majorHAnsi" w:cstheme="majorHAnsi"/>
          <w:sz w:val="24"/>
          <w:szCs w:val="24"/>
          <w:lang w:val="es-ES" w:eastAsia="en-US"/>
        </w:rPr>
      </w:pPr>
      <w:r w:rsidRPr="00907754">
        <w:rPr>
          <w:rFonts w:asciiTheme="majorHAnsi" w:eastAsiaTheme="minorHAnsi" w:hAnsiTheme="majorHAnsi" w:cstheme="majorHAnsi"/>
          <w:sz w:val="24"/>
          <w:szCs w:val="24"/>
          <w:lang w:val="es-ES" w:eastAsia="en-US"/>
        </w:rPr>
        <w:t xml:space="preserve">Tal y como se refleja en el última actualización de la </w:t>
      </w:r>
      <w:hyperlink r:id="rId20" w:history="1">
        <w:r w:rsidRPr="00907754">
          <w:rPr>
            <w:rFonts w:asciiTheme="minorHAnsi" w:eastAsiaTheme="minorHAnsi" w:hAnsiTheme="minorHAnsi" w:cstheme="minorHAnsi"/>
            <w:color w:val="0563C1" w:themeColor="hyperlink"/>
            <w:sz w:val="24"/>
            <w:szCs w:val="24"/>
            <w:u w:val="single"/>
            <w:lang w:val="es-ES" w:eastAsia="en-US"/>
          </w:rPr>
          <w:t>Contribución del Sistema Agroalimentario a la Economía Española</w:t>
        </w:r>
      </w:hyperlink>
      <w:r w:rsidRPr="00907754">
        <w:rPr>
          <w:rFonts w:asciiTheme="majorHAnsi" w:eastAsiaTheme="minorHAnsi" w:hAnsiTheme="majorHAnsi" w:cstheme="majorHAnsi"/>
          <w:sz w:val="24"/>
          <w:szCs w:val="24"/>
          <w:lang w:val="es-ES" w:eastAsia="en-US"/>
        </w:rPr>
        <w:t>, publicado por el MAPA, el Sistema Agroalimentario se cifra en 107.743</w:t>
      </w:r>
      <w:r w:rsidR="00542BDC">
        <w:rPr>
          <w:rFonts w:asciiTheme="majorHAnsi" w:eastAsiaTheme="minorHAnsi" w:hAnsiTheme="majorHAnsi" w:cstheme="majorHAnsi"/>
          <w:sz w:val="24"/>
          <w:szCs w:val="24"/>
          <w:lang w:val="es-ES" w:eastAsia="en-US"/>
        </w:rPr>
        <w:t xml:space="preserve"> millones de euros en 2016. Actualmente</w:t>
      </w:r>
      <w:r w:rsidRPr="00907754">
        <w:rPr>
          <w:rFonts w:asciiTheme="majorHAnsi" w:eastAsiaTheme="minorHAnsi" w:hAnsiTheme="majorHAnsi" w:cstheme="majorHAnsi"/>
          <w:sz w:val="24"/>
          <w:szCs w:val="24"/>
          <w:lang w:val="es-ES" w:eastAsia="en-US"/>
        </w:rPr>
        <w:t>.</w:t>
      </w:r>
      <w:r w:rsidR="00542BDC" w:rsidRPr="00542BDC">
        <w:rPr>
          <w:rFonts w:ascii="ArialNarrow" w:hAnsi="ArialNarrow" w:cs="ArialNarrow"/>
          <w:color w:val="000000"/>
          <w:sz w:val="28"/>
          <w:szCs w:val="24"/>
          <w:lang w:val="x-none"/>
        </w:rPr>
        <w:t xml:space="preserve"> </w:t>
      </w:r>
      <w:proofErr w:type="gramStart"/>
      <w:r w:rsidR="00542BDC" w:rsidRPr="00542BDC">
        <w:rPr>
          <w:rFonts w:asciiTheme="majorHAnsi" w:eastAsiaTheme="minorHAnsi" w:hAnsiTheme="majorHAnsi" w:cstheme="majorHAnsi"/>
          <w:sz w:val="24"/>
          <w:szCs w:val="24"/>
          <w:lang w:val="es-ES" w:eastAsia="en-US"/>
        </w:rPr>
        <w:t>el</w:t>
      </w:r>
      <w:proofErr w:type="gramEnd"/>
      <w:r w:rsidR="00542BDC" w:rsidRPr="00542BDC">
        <w:rPr>
          <w:rFonts w:asciiTheme="majorHAnsi" w:eastAsiaTheme="minorHAnsi" w:hAnsiTheme="majorHAnsi" w:cstheme="majorHAnsi"/>
          <w:sz w:val="24"/>
          <w:szCs w:val="24"/>
          <w:lang w:val="es-ES" w:eastAsia="en-US"/>
        </w:rPr>
        <w:t xml:space="preserve"> sector agroalimentario español representa cerca del 10 % del Producto Interior Bruto y proporciona empleo a más de 2,4 millones de personas. Ha subrayado que las exportaciones del sector han superado el umbral de los 50.000 millones de €, con un saldo comercial positivo de 12.000 millones de €, convirtiendo a España en la octava potencia mundial agroalimentaria</w:t>
      </w:r>
      <w:r w:rsidR="00130A92">
        <w:rPr>
          <w:rFonts w:asciiTheme="majorHAnsi" w:eastAsiaTheme="minorHAnsi" w:hAnsiTheme="majorHAnsi" w:cstheme="majorHAnsi"/>
          <w:sz w:val="24"/>
          <w:szCs w:val="24"/>
          <w:lang w:val="es-ES" w:eastAsia="en-US"/>
        </w:rPr>
        <w:t>.</w:t>
      </w:r>
    </w:p>
    <w:p w14:paraId="20AA9691" w14:textId="3EB50CCD" w:rsidR="00130A92" w:rsidRDefault="00130A92" w:rsidP="00D4710E">
      <w:pPr>
        <w:spacing w:after="120" w:line="276" w:lineRule="auto"/>
        <w:jc w:val="both"/>
        <w:rPr>
          <w:rFonts w:asciiTheme="majorHAnsi" w:eastAsiaTheme="minorHAnsi" w:hAnsiTheme="majorHAnsi" w:cstheme="majorHAnsi"/>
          <w:sz w:val="24"/>
          <w:szCs w:val="24"/>
          <w:lang w:val="es-ES" w:eastAsia="en-US"/>
        </w:rPr>
      </w:pPr>
      <w:r>
        <w:rPr>
          <w:rFonts w:asciiTheme="majorHAnsi" w:eastAsiaTheme="minorHAnsi" w:hAnsiTheme="majorHAnsi" w:cstheme="majorHAnsi"/>
          <w:sz w:val="24"/>
          <w:szCs w:val="24"/>
          <w:lang w:val="es-ES" w:eastAsia="en-US"/>
        </w:rPr>
        <w:t xml:space="preserve">Ver </w:t>
      </w:r>
      <w:proofErr w:type="spellStart"/>
      <w:r>
        <w:rPr>
          <w:rFonts w:asciiTheme="majorHAnsi" w:eastAsiaTheme="minorHAnsi" w:hAnsiTheme="majorHAnsi" w:cstheme="majorHAnsi"/>
          <w:sz w:val="24"/>
          <w:szCs w:val="24"/>
          <w:lang w:val="es-ES" w:eastAsia="en-US"/>
        </w:rPr>
        <w:t>Factsheet</w:t>
      </w:r>
      <w:proofErr w:type="spellEnd"/>
      <w:r>
        <w:rPr>
          <w:rFonts w:asciiTheme="majorHAnsi" w:eastAsiaTheme="minorHAnsi" w:hAnsiTheme="majorHAnsi" w:cstheme="majorHAnsi"/>
          <w:sz w:val="24"/>
          <w:szCs w:val="24"/>
          <w:lang w:val="es-ES" w:eastAsia="en-US"/>
        </w:rPr>
        <w:t xml:space="preserve"> de España en  </w:t>
      </w:r>
      <w:hyperlink r:id="rId21" w:history="1">
        <w:r w:rsidRPr="00BF4A9A">
          <w:rPr>
            <w:rStyle w:val="Hipervnculo"/>
            <w:rFonts w:asciiTheme="majorHAnsi" w:eastAsiaTheme="minorHAnsi" w:hAnsiTheme="majorHAnsi" w:cstheme="majorHAnsi"/>
            <w:sz w:val="24"/>
            <w:szCs w:val="24"/>
            <w:lang w:val="es-ES" w:eastAsia="en-US"/>
          </w:rPr>
          <w:t>https://ec.europa.eu/info/sites/info/files/food-farming-fisheries/farming/documents/agri-statistical-factsheet-es_en.pdf</w:t>
        </w:r>
      </w:hyperlink>
    </w:p>
    <w:p w14:paraId="0BEAA4C9" w14:textId="77777777" w:rsidR="00130A92" w:rsidRPr="00907754" w:rsidRDefault="00130A92" w:rsidP="00D4710E">
      <w:pPr>
        <w:spacing w:after="120" w:line="276" w:lineRule="auto"/>
        <w:jc w:val="both"/>
        <w:rPr>
          <w:rFonts w:asciiTheme="majorHAnsi" w:eastAsiaTheme="minorHAnsi" w:hAnsiTheme="majorHAnsi" w:cstheme="majorHAnsi"/>
          <w:sz w:val="24"/>
          <w:szCs w:val="24"/>
          <w:lang w:val="es-ES" w:eastAsia="en-US"/>
        </w:rPr>
      </w:pPr>
    </w:p>
    <w:p w14:paraId="644FF3F7" w14:textId="454CDDDD" w:rsidR="007849CD" w:rsidRPr="00C04B84" w:rsidRDefault="00140D17" w:rsidP="003D7B02">
      <w:pPr>
        <w:pStyle w:val="Prrafodelista"/>
        <w:numPr>
          <w:ilvl w:val="0"/>
          <w:numId w:val="9"/>
        </w:numPr>
        <w:spacing w:after="240" w:line="276" w:lineRule="auto"/>
        <w:ind w:left="1701"/>
        <w:jc w:val="both"/>
        <w:rPr>
          <w:rFonts w:asciiTheme="majorHAnsi" w:hAnsiTheme="majorHAnsi" w:cstheme="majorHAnsi"/>
          <w:b/>
          <w:sz w:val="24"/>
          <w:szCs w:val="18"/>
        </w:rPr>
      </w:pPr>
      <w:r w:rsidRPr="00C04B84">
        <w:rPr>
          <w:rFonts w:asciiTheme="majorHAnsi" w:hAnsiTheme="majorHAnsi" w:cstheme="majorHAnsi"/>
          <w:b/>
          <w:sz w:val="24"/>
          <w:szCs w:val="18"/>
        </w:rPr>
        <w:t>C</w:t>
      </w:r>
      <w:r w:rsidR="007849CD" w:rsidRPr="00C04B84">
        <w:rPr>
          <w:rFonts w:asciiTheme="majorHAnsi" w:hAnsiTheme="majorHAnsi" w:cstheme="majorHAnsi"/>
          <w:b/>
          <w:sz w:val="24"/>
          <w:szCs w:val="18"/>
        </w:rPr>
        <w:t xml:space="preserve">omposición de la cadena </w:t>
      </w:r>
    </w:p>
    <w:p w14:paraId="772A9CBD" w14:textId="64502976" w:rsidR="00EB3B46" w:rsidRPr="00F3311F" w:rsidRDefault="00EB3B46" w:rsidP="00D4710E">
      <w:pPr>
        <w:pStyle w:val="parrafo"/>
        <w:shd w:val="clear" w:color="auto" w:fill="FFFFFF"/>
        <w:spacing w:before="180" w:beforeAutospacing="0" w:after="180" w:afterAutospacing="0" w:line="276" w:lineRule="auto"/>
        <w:jc w:val="both"/>
        <w:rPr>
          <w:rFonts w:asciiTheme="majorHAnsi" w:hAnsiTheme="majorHAnsi" w:cstheme="majorHAnsi"/>
          <w:color w:val="000000"/>
        </w:rPr>
      </w:pPr>
      <w:r w:rsidRPr="00F3311F">
        <w:rPr>
          <w:rFonts w:asciiTheme="majorHAnsi" w:hAnsiTheme="majorHAnsi" w:cstheme="majorHAnsi"/>
          <w:color w:val="000000"/>
        </w:rPr>
        <w:t>El sector agroalimentario, es un sector vulnerable en su conjunto por sus propias características, ya que integra a una amplia diversidad de agentes de los sectores de la producción, la transformación y la distribución, que a su vez se ven limitados individualmente por su idiosincrasia.</w:t>
      </w:r>
    </w:p>
    <w:p w14:paraId="38CBF785" w14:textId="77777777" w:rsidR="00EB3B46" w:rsidRPr="00F3311F" w:rsidRDefault="00EB3B46" w:rsidP="00D4710E">
      <w:pPr>
        <w:pStyle w:val="parrafo"/>
        <w:shd w:val="clear" w:color="auto" w:fill="FFFFFF"/>
        <w:spacing w:before="180" w:beforeAutospacing="0" w:after="180" w:afterAutospacing="0" w:line="276" w:lineRule="auto"/>
        <w:jc w:val="both"/>
        <w:rPr>
          <w:rFonts w:asciiTheme="majorHAnsi" w:hAnsiTheme="majorHAnsi" w:cstheme="majorHAnsi"/>
          <w:color w:val="000000"/>
        </w:rPr>
      </w:pPr>
      <w:r w:rsidRPr="00F3311F">
        <w:rPr>
          <w:rFonts w:asciiTheme="majorHAnsi" w:hAnsiTheme="majorHAnsi" w:cstheme="majorHAnsi"/>
          <w:color w:val="000000"/>
        </w:rPr>
        <w:lastRenderedPageBreak/>
        <w:t>Con carácter general, el sector productor agrario se ve afectado por un alto nivel de atomización, en el que mayoritariamente se integran empresas de pequeña dimensión. La rigidez de la demanda, la estacionalidad y atomización de la oferta, la dispersión territorial o la generación de empleos vinculados al medio rural, son especificidades propias del sector agrario que le diferencian claramente de otros sectores económicos, tal y como lo demuestra el tratamiento que ha recibido en el Tratado Constitutivo de la Unión Europea a través de la Política Agraria Común (PAC).</w:t>
      </w:r>
    </w:p>
    <w:p w14:paraId="03E382B6" w14:textId="77777777" w:rsidR="00EB3B46" w:rsidRPr="00F3311F" w:rsidRDefault="00EB3B46" w:rsidP="00D4710E">
      <w:pPr>
        <w:pStyle w:val="parrafo"/>
        <w:shd w:val="clear" w:color="auto" w:fill="FFFFFF"/>
        <w:spacing w:before="180" w:beforeAutospacing="0" w:after="180" w:afterAutospacing="0" w:line="276" w:lineRule="auto"/>
        <w:jc w:val="both"/>
        <w:rPr>
          <w:rFonts w:asciiTheme="majorHAnsi" w:hAnsiTheme="majorHAnsi" w:cstheme="majorHAnsi"/>
          <w:color w:val="000000"/>
        </w:rPr>
      </w:pPr>
      <w:r w:rsidRPr="00F3311F">
        <w:rPr>
          <w:rFonts w:asciiTheme="majorHAnsi" w:hAnsiTheme="majorHAnsi" w:cstheme="majorHAnsi"/>
          <w:color w:val="000000"/>
        </w:rPr>
        <w:t>Por su parte, la industria agroalimentaria está integrada mayoritariamente por pequeñas y medianas empresas, junto con grandes grupos industriales españoles e internacionales.</w:t>
      </w:r>
    </w:p>
    <w:p w14:paraId="16950FAE" w14:textId="170D35F5" w:rsidR="00002242" w:rsidRPr="00F3311F" w:rsidRDefault="00002242" w:rsidP="00002242">
      <w:pPr>
        <w:pStyle w:val="parrafo"/>
        <w:shd w:val="clear" w:color="auto" w:fill="FFFFFF"/>
        <w:spacing w:before="180" w:beforeAutospacing="0" w:after="180" w:afterAutospacing="0" w:line="276" w:lineRule="auto"/>
        <w:jc w:val="both"/>
        <w:rPr>
          <w:rFonts w:asciiTheme="majorHAnsi" w:hAnsiTheme="majorHAnsi" w:cstheme="majorHAnsi"/>
          <w:color w:val="000000"/>
        </w:rPr>
      </w:pPr>
      <w:r w:rsidRPr="00F3311F">
        <w:rPr>
          <w:rFonts w:asciiTheme="majorHAnsi" w:hAnsiTheme="majorHAnsi" w:cstheme="majorHAnsi"/>
          <w:color w:val="000000"/>
        </w:rPr>
        <w:t>El sector de la distribución alimentaria se encuentra dividido en dos tipos de canales de venta. El canal de venta organizado pertenec</w:t>
      </w:r>
      <w:r>
        <w:rPr>
          <w:rFonts w:asciiTheme="majorHAnsi" w:hAnsiTheme="majorHAnsi" w:cstheme="majorHAnsi"/>
          <w:color w:val="000000"/>
        </w:rPr>
        <w:t>iente</w:t>
      </w:r>
      <w:r w:rsidRPr="00F3311F">
        <w:rPr>
          <w:rFonts w:asciiTheme="majorHAnsi" w:hAnsiTheme="majorHAnsi" w:cstheme="majorHAnsi"/>
          <w:color w:val="000000"/>
        </w:rPr>
        <w:t xml:space="preserve"> a grandes grupos de distribución minorista El otro canal de venta es el del comercio especializado, formado por empresas </w:t>
      </w:r>
      <w:r>
        <w:rPr>
          <w:rFonts w:asciiTheme="majorHAnsi" w:hAnsiTheme="majorHAnsi" w:cstheme="majorHAnsi"/>
          <w:color w:val="000000"/>
        </w:rPr>
        <w:t>de tipo familiar.</w:t>
      </w:r>
    </w:p>
    <w:p w14:paraId="1D038605" w14:textId="27EBFB89" w:rsidR="00EB3B46" w:rsidRPr="00F3311F" w:rsidRDefault="00EB3B46" w:rsidP="00D4710E">
      <w:pPr>
        <w:pStyle w:val="parrafo"/>
        <w:shd w:val="clear" w:color="auto" w:fill="FFFFFF"/>
        <w:spacing w:before="180" w:beforeAutospacing="0" w:after="180" w:afterAutospacing="0" w:line="276" w:lineRule="auto"/>
        <w:jc w:val="both"/>
        <w:rPr>
          <w:rFonts w:asciiTheme="majorHAnsi" w:hAnsiTheme="majorHAnsi" w:cstheme="majorHAnsi"/>
          <w:color w:val="000000"/>
        </w:rPr>
      </w:pPr>
      <w:r w:rsidRPr="00F3311F">
        <w:rPr>
          <w:rFonts w:asciiTheme="majorHAnsi" w:hAnsiTheme="majorHAnsi" w:cstheme="majorHAnsi"/>
          <w:color w:val="000000"/>
        </w:rPr>
        <w:t>Un análisis de la situación actual de la cadena de valor evidencia la existencia de claras asimetrías en el poder de negociación que pueden derivar, y en ocasiones derivan, en una falta de transparencia en la formación de precios y en prácticas comerciales potenc</w:t>
      </w:r>
      <w:r w:rsidR="003D7B02">
        <w:rPr>
          <w:rFonts w:asciiTheme="majorHAnsi" w:hAnsiTheme="majorHAnsi" w:cstheme="majorHAnsi"/>
          <w:color w:val="000000"/>
        </w:rPr>
        <w:t>ialmente desleales,</w:t>
      </w:r>
      <w:r w:rsidR="003D7B02" w:rsidRPr="00F3311F">
        <w:rPr>
          <w:rFonts w:asciiTheme="majorHAnsi" w:hAnsiTheme="majorHAnsi" w:cstheme="majorHAnsi"/>
          <w:color w:val="000000"/>
        </w:rPr>
        <w:t xml:space="preserve"> prácticas</w:t>
      </w:r>
      <w:r w:rsidRPr="00F3311F">
        <w:rPr>
          <w:rFonts w:asciiTheme="majorHAnsi" w:hAnsiTheme="majorHAnsi" w:cstheme="majorHAnsi"/>
          <w:color w:val="000000"/>
        </w:rPr>
        <w:t xml:space="preserve"> contrarias a la competencia que distorsionan el mercado y tienen un efecto negativo sobre la competitividad de todo el sector agroalimentario.</w:t>
      </w:r>
    </w:p>
    <w:p w14:paraId="6C1A2AB6" w14:textId="77777777" w:rsidR="00C04B84" w:rsidRPr="00C04B84" w:rsidRDefault="00140D17" w:rsidP="000033C1">
      <w:pPr>
        <w:pStyle w:val="Prrafodelista"/>
        <w:numPr>
          <w:ilvl w:val="0"/>
          <w:numId w:val="9"/>
        </w:numPr>
        <w:spacing w:after="240" w:line="276" w:lineRule="auto"/>
        <w:ind w:left="1701"/>
        <w:jc w:val="both"/>
        <w:rPr>
          <w:rFonts w:asciiTheme="majorHAnsi" w:hAnsiTheme="majorHAnsi" w:cstheme="majorHAnsi"/>
          <w:sz w:val="24"/>
          <w:szCs w:val="18"/>
        </w:rPr>
      </w:pPr>
      <w:r w:rsidRPr="00C04B84">
        <w:rPr>
          <w:rFonts w:asciiTheme="majorHAnsi" w:hAnsiTheme="majorHAnsi" w:cstheme="majorHAnsi"/>
          <w:b/>
          <w:sz w:val="24"/>
          <w:szCs w:val="18"/>
        </w:rPr>
        <w:t>T</w:t>
      </w:r>
      <w:r w:rsidR="00C04B84">
        <w:rPr>
          <w:rFonts w:asciiTheme="majorHAnsi" w:hAnsiTheme="majorHAnsi" w:cstheme="majorHAnsi"/>
          <w:b/>
          <w:sz w:val="24"/>
          <w:szCs w:val="18"/>
        </w:rPr>
        <w:t xml:space="preserve">razabilidad </w:t>
      </w:r>
    </w:p>
    <w:p w14:paraId="3CC98831" w14:textId="231D8C31" w:rsidR="00C407B2" w:rsidRDefault="0075069C" w:rsidP="00C04B84">
      <w:pPr>
        <w:spacing w:after="240" w:line="276" w:lineRule="auto"/>
        <w:jc w:val="both"/>
        <w:rPr>
          <w:rFonts w:asciiTheme="majorHAnsi" w:hAnsiTheme="majorHAnsi" w:cstheme="majorHAnsi"/>
          <w:sz w:val="24"/>
          <w:szCs w:val="18"/>
        </w:rPr>
      </w:pPr>
      <w:r w:rsidRPr="00C04B84">
        <w:rPr>
          <w:rFonts w:asciiTheme="majorHAnsi" w:hAnsiTheme="majorHAnsi" w:cstheme="majorHAnsi"/>
          <w:sz w:val="24"/>
          <w:szCs w:val="18"/>
        </w:rPr>
        <w:t>En el contexto de la protección de la salud de las personas y de los intereses de los consumidores que establece el Reglamento (CE) Nº 178/2002 del Parlamento Europeo y del Consejo de 28 de enero de 2002 por el que se establecen los principios y los requisitos generales de la legislación alimentaria y que es aplicable en todas las etapas de la producción, la transformación y la distribución de alimentos, la trazabilidad es una herramienta fundamental para demostrar la seguridad, calidad y autenticidad de los alimentos desde la granja a la mesa. Esta trazabilidad hacia delante y hacia atrás obliga a los operadores a identificar a proveedores y a clientes y al efecto deberán contar con sistemas y procedimientos adecuados. Además existen sectores específicos para los que se ha desarrollado normativa que exige una trazabilidad de las operaciones internas, como es el caso del sector vitivinícola.</w:t>
      </w:r>
    </w:p>
    <w:p w14:paraId="4717D66A" w14:textId="77777777" w:rsidR="006E65C9" w:rsidRDefault="006E65C9" w:rsidP="00C04B84">
      <w:pPr>
        <w:spacing w:after="240" w:line="276" w:lineRule="auto"/>
        <w:jc w:val="both"/>
        <w:rPr>
          <w:rFonts w:asciiTheme="majorHAnsi" w:hAnsiTheme="majorHAnsi" w:cstheme="majorHAnsi"/>
          <w:sz w:val="24"/>
          <w:szCs w:val="18"/>
        </w:rPr>
      </w:pPr>
    </w:p>
    <w:p w14:paraId="7889697C" w14:textId="77777777" w:rsidR="006E65C9" w:rsidRPr="00C04B84" w:rsidRDefault="006E65C9" w:rsidP="00C04B84">
      <w:pPr>
        <w:spacing w:after="240" w:line="276" w:lineRule="auto"/>
        <w:jc w:val="both"/>
        <w:rPr>
          <w:rFonts w:asciiTheme="majorHAnsi" w:hAnsiTheme="majorHAnsi" w:cstheme="majorHAnsi"/>
          <w:sz w:val="24"/>
          <w:szCs w:val="18"/>
        </w:rPr>
      </w:pPr>
    </w:p>
    <w:p w14:paraId="792F473A" w14:textId="798B64B4" w:rsidR="007849CD" w:rsidRPr="0075069C" w:rsidRDefault="007849CD" w:rsidP="000033C1">
      <w:pPr>
        <w:pStyle w:val="Prrafodelista"/>
        <w:numPr>
          <w:ilvl w:val="0"/>
          <w:numId w:val="9"/>
        </w:numPr>
        <w:spacing w:after="240" w:line="276" w:lineRule="auto"/>
        <w:ind w:left="1701"/>
        <w:jc w:val="both"/>
        <w:rPr>
          <w:rFonts w:asciiTheme="majorHAnsi" w:hAnsiTheme="majorHAnsi" w:cstheme="majorHAnsi"/>
          <w:b/>
          <w:sz w:val="24"/>
          <w:szCs w:val="18"/>
        </w:rPr>
      </w:pPr>
      <w:r w:rsidRPr="00F3311F">
        <w:rPr>
          <w:rFonts w:asciiTheme="majorHAnsi" w:hAnsiTheme="majorHAnsi" w:cstheme="majorHAnsi"/>
          <w:b/>
          <w:sz w:val="24"/>
          <w:szCs w:val="18"/>
        </w:rPr>
        <w:lastRenderedPageBreak/>
        <w:t>S</w:t>
      </w:r>
      <w:r w:rsidR="00C04B84">
        <w:rPr>
          <w:rFonts w:asciiTheme="majorHAnsi" w:hAnsiTheme="majorHAnsi" w:cstheme="majorHAnsi"/>
          <w:b/>
          <w:sz w:val="24"/>
          <w:szCs w:val="18"/>
        </w:rPr>
        <w:t xml:space="preserve">eguridad Alimentaria </w:t>
      </w:r>
    </w:p>
    <w:p w14:paraId="5D0F5C8C" w14:textId="2E4511C6" w:rsidR="0075069C" w:rsidRPr="0075069C" w:rsidRDefault="0075069C" w:rsidP="00D4710E">
      <w:pPr>
        <w:spacing w:after="240" w:line="276" w:lineRule="auto"/>
        <w:jc w:val="both"/>
        <w:rPr>
          <w:rFonts w:asciiTheme="majorHAnsi" w:hAnsiTheme="majorHAnsi" w:cstheme="majorHAnsi"/>
          <w:sz w:val="24"/>
          <w:szCs w:val="18"/>
        </w:rPr>
      </w:pPr>
      <w:r w:rsidRPr="0075069C">
        <w:rPr>
          <w:rFonts w:asciiTheme="majorHAnsi" w:hAnsiTheme="majorHAnsi" w:cstheme="majorHAnsi"/>
          <w:sz w:val="24"/>
          <w:szCs w:val="18"/>
        </w:rPr>
        <w:t>El Reglamento (CE) No 178/2002 del Parlamento Europeo y del Consejo de 28 de enero de 2002 por el que se establecen los principios y los requisitos generales de la legislación alimentaria, se crea la Autoridad Europea de Seguridad Alimentaria y se fijan procedimientos relativos a la seguridad alimentaria establece una base legal con un enfoque exhaustivo e integrado de la seguridad alimentaria, dotando a la legislación alimentaria de una definición amplia, que abarca una extensa gama de disposiciones con un efecto directo o indirecto sobre la inocuidad de los alimentos y de los piensos, entre ellas disposiciones relativas a los materiales y los objetos que están en contacto con los alimentos, a los piensos para animales y a otras materias primas agrícolas en la producción primaria.</w:t>
      </w:r>
    </w:p>
    <w:p w14:paraId="25CC65F2" w14:textId="37786126" w:rsidR="007849CD" w:rsidRPr="0075069C" w:rsidRDefault="007849CD" w:rsidP="000033C1">
      <w:pPr>
        <w:pStyle w:val="Prrafodelista"/>
        <w:numPr>
          <w:ilvl w:val="0"/>
          <w:numId w:val="9"/>
        </w:numPr>
        <w:spacing w:after="240" w:line="276" w:lineRule="auto"/>
        <w:ind w:left="1701"/>
        <w:jc w:val="both"/>
        <w:rPr>
          <w:rFonts w:asciiTheme="majorHAnsi" w:hAnsiTheme="majorHAnsi" w:cstheme="majorHAnsi"/>
          <w:b/>
          <w:sz w:val="24"/>
          <w:szCs w:val="18"/>
        </w:rPr>
      </w:pPr>
      <w:r w:rsidRPr="0075069C">
        <w:rPr>
          <w:rFonts w:asciiTheme="majorHAnsi" w:hAnsiTheme="majorHAnsi" w:cstheme="majorHAnsi"/>
          <w:b/>
          <w:sz w:val="24"/>
          <w:szCs w:val="18"/>
        </w:rPr>
        <w:t xml:space="preserve">Integración </w:t>
      </w:r>
    </w:p>
    <w:p w14:paraId="18D0D5E1" w14:textId="5C742010" w:rsidR="006132E6" w:rsidRPr="00D322B1" w:rsidRDefault="00C04B84" w:rsidP="00D4710E">
      <w:pPr>
        <w:spacing w:after="240" w:line="276" w:lineRule="auto"/>
        <w:jc w:val="both"/>
        <w:rPr>
          <w:rFonts w:asciiTheme="majorHAnsi" w:hAnsiTheme="majorHAnsi" w:cstheme="majorHAnsi"/>
          <w:sz w:val="24"/>
          <w:szCs w:val="24"/>
        </w:rPr>
      </w:pPr>
      <w:r w:rsidRPr="00C04B84">
        <w:rPr>
          <w:rFonts w:asciiTheme="majorHAnsi" w:hAnsiTheme="majorHAnsi" w:cstheme="majorHAnsi"/>
          <w:b/>
          <w:sz w:val="24"/>
          <w:szCs w:val="24"/>
          <w:u w:val="single"/>
        </w:rPr>
        <w:t>Cooperativismo agroalimentario</w:t>
      </w:r>
      <w:r>
        <w:rPr>
          <w:rFonts w:asciiTheme="majorHAnsi" w:hAnsiTheme="majorHAnsi" w:cstheme="majorHAnsi"/>
          <w:sz w:val="24"/>
          <w:szCs w:val="24"/>
        </w:rPr>
        <w:t xml:space="preserve">: </w:t>
      </w:r>
      <w:r w:rsidR="006132E6" w:rsidRPr="00D322B1">
        <w:rPr>
          <w:rFonts w:asciiTheme="majorHAnsi" w:hAnsiTheme="majorHAnsi" w:cstheme="majorHAnsi"/>
          <w:sz w:val="24"/>
          <w:szCs w:val="24"/>
        </w:rPr>
        <w:t>En 2017</w:t>
      </w:r>
      <w:r w:rsidR="006132E6" w:rsidRPr="00D322B1">
        <w:rPr>
          <w:rStyle w:val="Refdenotaalpie"/>
          <w:rFonts w:asciiTheme="majorHAnsi" w:hAnsiTheme="majorHAnsi" w:cstheme="majorHAnsi"/>
          <w:sz w:val="24"/>
          <w:szCs w:val="24"/>
        </w:rPr>
        <w:footnoteReference w:id="1"/>
      </w:r>
      <w:r w:rsidR="006132E6" w:rsidRPr="00D322B1">
        <w:rPr>
          <w:rFonts w:asciiTheme="majorHAnsi" w:hAnsiTheme="majorHAnsi" w:cstheme="majorHAnsi"/>
          <w:sz w:val="24"/>
          <w:szCs w:val="24"/>
        </w:rPr>
        <w:t xml:space="preserve">, el </w:t>
      </w:r>
      <w:r w:rsidR="006132E6" w:rsidRPr="00C04B84">
        <w:rPr>
          <w:rFonts w:asciiTheme="majorHAnsi" w:hAnsiTheme="majorHAnsi" w:cstheme="majorHAnsi"/>
          <w:sz w:val="24"/>
          <w:szCs w:val="24"/>
        </w:rPr>
        <w:t>cooperativismo agroalimentario</w:t>
      </w:r>
      <w:r w:rsidR="006132E6" w:rsidRPr="00D322B1">
        <w:rPr>
          <w:rFonts w:asciiTheme="majorHAnsi" w:hAnsiTheme="majorHAnsi" w:cstheme="majorHAnsi"/>
          <w:sz w:val="24"/>
          <w:szCs w:val="24"/>
        </w:rPr>
        <w:t xml:space="preserve"> en España, obtuvo una facturación de 33.957 M€</w:t>
      </w:r>
      <w:r w:rsidR="006132E6" w:rsidRPr="00D322B1">
        <w:rPr>
          <w:rStyle w:val="Refdenotaalpie"/>
          <w:rFonts w:asciiTheme="majorHAnsi" w:hAnsiTheme="majorHAnsi" w:cstheme="majorHAnsi"/>
          <w:sz w:val="24"/>
          <w:szCs w:val="24"/>
          <w:lang w:val="es-ES"/>
        </w:rPr>
        <w:footnoteReference w:id="2"/>
      </w:r>
      <w:r w:rsidR="006132E6" w:rsidRPr="00D322B1">
        <w:rPr>
          <w:rFonts w:asciiTheme="majorHAnsi" w:hAnsiTheme="majorHAnsi" w:cstheme="majorHAnsi"/>
          <w:sz w:val="24"/>
          <w:szCs w:val="24"/>
        </w:rPr>
        <w:t xml:space="preserve">, lo que equivale a un </w:t>
      </w:r>
      <w:r w:rsidR="006132E6" w:rsidRPr="00D322B1">
        <w:rPr>
          <w:rFonts w:asciiTheme="majorHAnsi" w:hAnsiTheme="majorHAnsi" w:cstheme="majorHAnsi"/>
          <w:bCs/>
          <w:sz w:val="24"/>
          <w:szCs w:val="24"/>
        </w:rPr>
        <w:t xml:space="preserve">67% </w:t>
      </w:r>
      <w:r w:rsidR="006132E6" w:rsidRPr="00D322B1">
        <w:rPr>
          <w:rFonts w:asciiTheme="majorHAnsi" w:hAnsiTheme="majorHAnsi" w:cstheme="majorHAnsi"/>
          <w:sz w:val="24"/>
          <w:szCs w:val="24"/>
        </w:rPr>
        <w:t xml:space="preserve">de valor de la </w:t>
      </w:r>
      <w:r w:rsidR="006132E6" w:rsidRPr="00D322B1">
        <w:rPr>
          <w:rFonts w:asciiTheme="majorHAnsi" w:hAnsiTheme="majorHAnsi" w:cstheme="majorHAnsi"/>
          <w:bCs/>
          <w:sz w:val="24"/>
          <w:szCs w:val="24"/>
        </w:rPr>
        <w:t xml:space="preserve">Producción Final Agraria y casi un 30% </w:t>
      </w:r>
      <w:r w:rsidR="006132E6" w:rsidRPr="00D322B1">
        <w:rPr>
          <w:rFonts w:asciiTheme="majorHAnsi" w:hAnsiTheme="majorHAnsi" w:cstheme="majorHAnsi"/>
          <w:sz w:val="24"/>
          <w:szCs w:val="24"/>
        </w:rPr>
        <w:t xml:space="preserve">del valor de la </w:t>
      </w:r>
      <w:r w:rsidR="006132E6" w:rsidRPr="00D322B1">
        <w:rPr>
          <w:rFonts w:asciiTheme="majorHAnsi" w:hAnsiTheme="majorHAnsi" w:cstheme="majorHAnsi"/>
          <w:bCs/>
          <w:sz w:val="24"/>
          <w:szCs w:val="24"/>
        </w:rPr>
        <w:t xml:space="preserve">Ventas netas de la Industria Alimentaria Española (IAA), </w:t>
      </w:r>
      <w:r w:rsidR="006132E6" w:rsidRPr="00D322B1">
        <w:rPr>
          <w:rFonts w:asciiTheme="majorHAnsi" w:hAnsiTheme="majorHAnsi" w:cstheme="majorHAnsi"/>
          <w:sz w:val="24"/>
          <w:szCs w:val="24"/>
        </w:rPr>
        <w:t xml:space="preserve">(siendo las cooperativas el 13% del colectivo). </w:t>
      </w:r>
    </w:p>
    <w:p w14:paraId="1EA9E40B" w14:textId="77777777" w:rsidR="006132E6" w:rsidRPr="00D322B1" w:rsidRDefault="006132E6" w:rsidP="00D4710E">
      <w:pPr>
        <w:spacing w:after="240" w:line="276" w:lineRule="auto"/>
        <w:jc w:val="both"/>
        <w:rPr>
          <w:rFonts w:asciiTheme="majorHAnsi" w:hAnsiTheme="majorHAnsi" w:cstheme="majorHAnsi"/>
          <w:sz w:val="24"/>
          <w:szCs w:val="24"/>
        </w:rPr>
      </w:pPr>
      <w:r w:rsidRPr="00D322B1">
        <w:rPr>
          <w:rFonts w:asciiTheme="majorHAnsi" w:hAnsiTheme="majorHAnsi" w:cstheme="majorHAnsi"/>
          <w:sz w:val="24"/>
          <w:szCs w:val="24"/>
        </w:rPr>
        <w:t xml:space="preserve">Respecto al tamaño medio de las cooperativas, su facturación es de 8,5 M€ por entidad, caracterizándose el sector por una elevada atomización. </w:t>
      </w:r>
    </w:p>
    <w:tbl>
      <w:tblPr>
        <w:tblW w:w="5000" w:type="pct"/>
        <w:tblCellMar>
          <w:left w:w="0" w:type="dxa"/>
          <w:right w:w="0" w:type="dxa"/>
        </w:tblCellMar>
        <w:tblLook w:val="0600" w:firstRow="0" w:lastRow="0" w:firstColumn="0" w:lastColumn="0" w:noHBand="1" w:noVBand="1"/>
      </w:tblPr>
      <w:tblGrid>
        <w:gridCol w:w="1298"/>
        <w:gridCol w:w="872"/>
        <w:gridCol w:w="658"/>
        <w:gridCol w:w="988"/>
        <w:gridCol w:w="1317"/>
        <w:gridCol w:w="1317"/>
        <w:gridCol w:w="1181"/>
        <w:gridCol w:w="853"/>
      </w:tblGrid>
      <w:tr w:rsidR="006132E6" w:rsidRPr="00D322B1" w14:paraId="313480DA" w14:textId="77777777" w:rsidTr="000A13D9">
        <w:trPr>
          <w:trHeight w:val="600"/>
        </w:trPr>
        <w:tc>
          <w:tcPr>
            <w:tcW w:w="765"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769E4286"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 Tipo Empresa </w:t>
            </w:r>
          </w:p>
        </w:tc>
        <w:tc>
          <w:tcPr>
            <w:tcW w:w="514"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306B084A"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Nº </w:t>
            </w:r>
            <w:proofErr w:type="spellStart"/>
            <w:r w:rsidRPr="002B5AB4">
              <w:rPr>
                <w:rFonts w:asciiTheme="majorHAnsi" w:eastAsia="MS PGothic" w:hAnsiTheme="majorHAnsi" w:cstheme="majorHAnsi"/>
                <w:b/>
                <w:bCs/>
                <w:kern w:val="24"/>
                <w:lang w:val="es-ES"/>
              </w:rPr>
              <w:t>Coops</w:t>
            </w:r>
            <w:proofErr w:type="spellEnd"/>
            <w:r w:rsidRPr="002B5AB4">
              <w:rPr>
                <w:rFonts w:asciiTheme="majorHAnsi" w:eastAsia="MS PGothic" w:hAnsiTheme="majorHAnsi" w:cstheme="majorHAnsi"/>
                <w:b/>
                <w:bCs/>
                <w:kern w:val="24"/>
                <w:lang w:val="es-ES"/>
              </w:rPr>
              <w:t xml:space="preserve">. </w:t>
            </w:r>
          </w:p>
        </w:tc>
        <w:tc>
          <w:tcPr>
            <w:tcW w:w="388"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1529D13B"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 Total </w:t>
            </w:r>
          </w:p>
        </w:tc>
        <w:tc>
          <w:tcPr>
            <w:tcW w:w="582"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004C8FD1"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M€  </w:t>
            </w:r>
          </w:p>
        </w:tc>
        <w:tc>
          <w:tcPr>
            <w:tcW w:w="776"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1435EE10"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 Facturación* total </w:t>
            </w:r>
          </w:p>
        </w:tc>
        <w:tc>
          <w:tcPr>
            <w:tcW w:w="776" w:type="pct"/>
            <w:vMerge w:val="restart"/>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73FAAAEF"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Facturación* media (M€) </w:t>
            </w:r>
          </w:p>
        </w:tc>
        <w:tc>
          <w:tcPr>
            <w:tcW w:w="1199" w:type="pct"/>
            <w:gridSpan w:val="2"/>
            <w:tcBorders>
              <w:top w:val="single" w:sz="8" w:space="0" w:color="FFFFFF"/>
              <w:left w:val="single" w:sz="8" w:space="0" w:color="FFFFFF"/>
              <w:bottom w:val="single" w:sz="12" w:space="0" w:color="FFFFFF"/>
              <w:right w:val="single" w:sz="8" w:space="0" w:color="FFFFFF"/>
            </w:tcBorders>
            <w:shd w:val="clear" w:color="auto" w:fill="D1E09C"/>
            <w:tcMar>
              <w:top w:w="15" w:type="dxa"/>
              <w:left w:w="15" w:type="dxa"/>
              <w:bottom w:w="0" w:type="dxa"/>
              <w:right w:w="15" w:type="dxa"/>
            </w:tcMar>
            <w:vAlign w:val="center"/>
            <w:hideMark/>
          </w:tcPr>
          <w:p w14:paraId="727C9A33"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Tendencia 2006-17</w:t>
            </w:r>
          </w:p>
        </w:tc>
      </w:tr>
      <w:tr w:rsidR="006132E6" w:rsidRPr="00D322B1" w14:paraId="493E80D5" w14:textId="77777777" w:rsidTr="000A13D9">
        <w:trPr>
          <w:trHeight w:val="345"/>
        </w:trPr>
        <w:tc>
          <w:tcPr>
            <w:tcW w:w="765" w:type="pct"/>
            <w:vMerge/>
            <w:tcBorders>
              <w:top w:val="single" w:sz="8" w:space="0" w:color="FFFFFF"/>
              <w:left w:val="single" w:sz="8" w:space="0" w:color="FFFFFF"/>
              <w:bottom w:val="single" w:sz="12" w:space="0" w:color="FFFFFF"/>
              <w:right w:val="single" w:sz="8" w:space="0" w:color="FFFFFF"/>
            </w:tcBorders>
            <w:vAlign w:val="center"/>
            <w:hideMark/>
          </w:tcPr>
          <w:p w14:paraId="463FFB72" w14:textId="77777777" w:rsidR="006132E6" w:rsidRPr="002B5AB4" w:rsidRDefault="006132E6" w:rsidP="00D4710E">
            <w:pPr>
              <w:spacing w:line="276" w:lineRule="auto"/>
              <w:rPr>
                <w:rFonts w:asciiTheme="majorHAnsi" w:hAnsiTheme="majorHAnsi" w:cstheme="majorHAnsi"/>
                <w:lang w:val="es-ES"/>
              </w:rPr>
            </w:pPr>
          </w:p>
        </w:tc>
        <w:tc>
          <w:tcPr>
            <w:tcW w:w="514" w:type="pct"/>
            <w:vMerge/>
            <w:tcBorders>
              <w:top w:val="single" w:sz="8" w:space="0" w:color="FFFFFF"/>
              <w:left w:val="single" w:sz="8" w:space="0" w:color="FFFFFF"/>
              <w:bottom w:val="single" w:sz="12" w:space="0" w:color="FFFFFF"/>
              <w:right w:val="single" w:sz="8" w:space="0" w:color="FFFFFF"/>
            </w:tcBorders>
            <w:vAlign w:val="center"/>
            <w:hideMark/>
          </w:tcPr>
          <w:p w14:paraId="1F9E0C7F" w14:textId="77777777" w:rsidR="006132E6" w:rsidRPr="002B5AB4" w:rsidRDefault="006132E6" w:rsidP="00D4710E">
            <w:pPr>
              <w:spacing w:line="276" w:lineRule="auto"/>
              <w:rPr>
                <w:rFonts w:asciiTheme="majorHAnsi" w:hAnsiTheme="majorHAnsi" w:cstheme="majorHAnsi"/>
                <w:lang w:val="es-ES"/>
              </w:rPr>
            </w:pPr>
          </w:p>
        </w:tc>
        <w:tc>
          <w:tcPr>
            <w:tcW w:w="388" w:type="pct"/>
            <w:vMerge/>
            <w:tcBorders>
              <w:top w:val="single" w:sz="8" w:space="0" w:color="FFFFFF"/>
              <w:left w:val="single" w:sz="8" w:space="0" w:color="FFFFFF"/>
              <w:bottom w:val="single" w:sz="12" w:space="0" w:color="FFFFFF"/>
              <w:right w:val="single" w:sz="8" w:space="0" w:color="FFFFFF"/>
            </w:tcBorders>
            <w:vAlign w:val="center"/>
            <w:hideMark/>
          </w:tcPr>
          <w:p w14:paraId="0D5233F0" w14:textId="77777777" w:rsidR="006132E6" w:rsidRPr="002B5AB4" w:rsidRDefault="006132E6" w:rsidP="00D4710E">
            <w:pPr>
              <w:spacing w:line="276" w:lineRule="auto"/>
              <w:rPr>
                <w:rFonts w:asciiTheme="majorHAnsi" w:hAnsiTheme="majorHAnsi" w:cstheme="majorHAnsi"/>
                <w:lang w:val="es-ES"/>
              </w:rPr>
            </w:pPr>
          </w:p>
        </w:tc>
        <w:tc>
          <w:tcPr>
            <w:tcW w:w="582" w:type="pct"/>
            <w:vMerge/>
            <w:tcBorders>
              <w:top w:val="single" w:sz="8" w:space="0" w:color="FFFFFF"/>
              <w:left w:val="single" w:sz="8" w:space="0" w:color="FFFFFF"/>
              <w:bottom w:val="single" w:sz="12" w:space="0" w:color="FFFFFF"/>
              <w:right w:val="single" w:sz="8" w:space="0" w:color="FFFFFF"/>
            </w:tcBorders>
            <w:vAlign w:val="center"/>
            <w:hideMark/>
          </w:tcPr>
          <w:p w14:paraId="259F42D3" w14:textId="77777777" w:rsidR="006132E6" w:rsidRPr="002B5AB4" w:rsidRDefault="006132E6" w:rsidP="00D4710E">
            <w:pPr>
              <w:spacing w:line="276" w:lineRule="auto"/>
              <w:rPr>
                <w:rFonts w:asciiTheme="majorHAnsi" w:hAnsiTheme="majorHAnsi" w:cstheme="majorHAnsi"/>
                <w:lang w:val="es-ES"/>
              </w:rPr>
            </w:pPr>
          </w:p>
        </w:tc>
        <w:tc>
          <w:tcPr>
            <w:tcW w:w="776" w:type="pct"/>
            <w:vMerge/>
            <w:tcBorders>
              <w:top w:val="single" w:sz="8" w:space="0" w:color="FFFFFF"/>
              <w:left w:val="single" w:sz="8" w:space="0" w:color="FFFFFF"/>
              <w:bottom w:val="single" w:sz="12" w:space="0" w:color="FFFFFF"/>
              <w:right w:val="single" w:sz="8" w:space="0" w:color="FFFFFF"/>
            </w:tcBorders>
            <w:vAlign w:val="center"/>
            <w:hideMark/>
          </w:tcPr>
          <w:p w14:paraId="69D35AD0" w14:textId="77777777" w:rsidR="006132E6" w:rsidRPr="002B5AB4" w:rsidRDefault="006132E6" w:rsidP="00D4710E">
            <w:pPr>
              <w:spacing w:line="276" w:lineRule="auto"/>
              <w:rPr>
                <w:rFonts w:asciiTheme="majorHAnsi" w:hAnsiTheme="majorHAnsi" w:cstheme="majorHAnsi"/>
                <w:lang w:val="es-ES"/>
              </w:rPr>
            </w:pPr>
          </w:p>
        </w:tc>
        <w:tc>
          <w:tcPr>
            <w:tcW w:w="776" w:type="pct"/>
            <w:vMerge/>
            <w:tcBorders>
              <w:top w:val="single" w:sz="8" w:space="0" w:color="FFFFFF"/>
              <w:left w:val="single" w:sz="8" w:space="0" w:color="FFFFFF"/>
              <w:bottom w:val="single" w:sz="12" w:space="0" w:color="FFFFFF"/>
              <w:right w:val="single" w:sz="8" w:space="0" w:color="FFFFFF"/>
            </w:tcBorders>
            <w:vAlign w:val="center"/>
            <w:hideMark/>
          </w:tcPr>
          <w:p w14:paraId="6C4FC64F" w14:textId="77777777" w:rsidR="006132E6" w:rsidRPr="002B5AB4" w:rsidRDefault="006132E6" w:rsidP="00D4710E">
            <w:pPr>
              <w:spacing w:line="276" w:lineRule="auto"/>
              <w:rPr>
                <w:rFonts w:asciiTheme="majorHAnsi" w:hAnsiTheme="majorHAnsi" w:cstheme="majorHAnsi"/>
                <w:lang w:val="es-ES"/>
              </w:rPr>
            </w:pPr>
          </w:p>
        </w:tc>
        <w:tc>
          <w:tcPr>
            <w:tcW w:w="696" w:type="pct"/>
            <w:tcBorders>
              <w:top w:val="single" w:sz="12" w:space="0" w:color="FFFFFF"/>
              <w:left w:val="single" w:sz="12" w:space="0" w:color="FFFFFF"/>
              <w:bottom w:val="single" w:sz="8" w:space="0" w:color="FFFFFF"/>
              <w:right w:val="single" w:sz="8" w:space="0" w:color="FFFFFF"/>
            </w:tcBorders>
            <w:shd w:val="clear" w:color="auto" w:fill="D1E09C"/>
            <w:tcMar>
              <w:top w:w="15" w:type="dxa"/>
              <w:left w:w="15" w:type="dxa"/>
              <w:bottom w:w="0" w:type="dxa"/>
              <w:right w:w="15" w:type="dxa"/>
            </w:tcMar>
            <w:vAlign w:val="center"/>
            <w:hideMark/>
          </w:tcPr>
          <w:p w14:paraId="4B77C25B"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Nº </w:t>
            </w:r>
          </w:p>
        </w:tc>
        <w:tc>
          <w:tcPr>
            <w:tcW w:w="502" w:type="pct"/>
            <w:tcBorders>
              <w:top w:val="single" w:sz="12" w:space="0" w:color="FFFFFF"/>
              <w:left w:val="single" w:sz="8" w:space="0" w:color="FFFFFF"/>
              <w:bottom w:val="single" w:sz="8" w:space="0" w:color="FFFFFF"/>
              <w:right w:val="single" w:sz="8" w:space="0" w:color="FFFFFF"/>
            </w:tcBorders>
            <w:shd w:val="clear" w:color="auto" w:fill="D1E09C"/>
            <w:tcMar>
              <w:top w:w="15" w:type="dxa"/>
              <w:left w:w="15" w:type="dxa"/>
              <w:bottom w:w="0" w:type="dxa"/>
              <w:right w:w="15" w:type="dxa"/>
            </w:tcMar>
            <w:vAlign w:val="center"/>
            <w:hideMark/>
          </w:tcPr>
          <w:p w14:paraId="4C67E810"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 </w:t>
            </w:r>
          </w:p>
        </w:tc>
      </w:tr>
      <w:tr w:rsidR="006132E6" w:rsidRPr="00D322B1" w14:paraId="09A96A24" w14:textId="77777777" w:rsidTr="000A13D9">
        <w:trPr>
          <w:trHeight w:val="420"/>
        </w:trPr>
        <w:tc>
          <w:tcPr>
            <w:tcW w:w="765" w:type="pct"/>
            <w:tcBorders>
              <w:top w:val="single" w:sz="12" w:space="0" w:color="FFFFFF"/>
              <w:left w:val="single" w:sz="8" w:space="0" w:color="FFFFFF"/>
              <w:bottom w:val="single" w:sz="8" w:space="0" w:color="FFFFFF"/>
              <w:right w:val="single" w:sz="8" w:space="0" w:color="FFFFFF"/>
            </w:tcBorders>
            <w:shd w:val="clear" w:color="auto" w:fill="BFBFBF"/>
            <w:tcMar>
              <w:top w:w="15" w:type="dxa"/>
              <w:left w:w="15" w:type="dxa"/>
              <w:bottom w:w="0" w:type="dxa"/>
              <w:right w:w="15" w:type="dxa"/>
            </w:tcMar>
            <w:vAlign w:val="center"/>
            <w:hideMark/>
          </w:tcPr>
          <w:p w14:paraId="7DE14F1B"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Grandes </w:t>
            </w:r>
          </w:p>
        </w:tc>
        <w:tc>
          <w:tcPr>
            <w:tcW w:w="514" w:type="pct"/>
            <w:tcBorders>
              <w:top w:val="single" w:sz="12"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47A4B5F2"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122</w:t>
            </w:r>
          </w:p>
        </w:tc>
        <w:tc>
          <w:tcPr>
            <w:tcW w:w="388" w:type="pct"/>
            <w:tcBorders>
              <w:top w:val="single" w:sz="12"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14E4D790"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5%</w:t>
            </w:r>
          </w:p>
        </w:tc>
        <w:tc>
          <w:tcPr>
            <w:tcW w:w="582" w:type="pct"/>
            <w:tcBorders>
              <w:top w:val="single" w:sz="12"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2A2E7034"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11.946</w:t>
            </w:r>
          </w:p>
        </w:tc>
        <w:tc>
          <w:tcPr>
            <w:tcW w:w="776" w:type="pct"/>
            <w:tcBorders>
              <w:top w:val="single" w:sz="12"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529339E8"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49,2%</w:t>
            </w:r>
          </w:p>
        </w:tc>
        <w:tc>
          <w:tcPr>
            <w:tcW w:w="776" w:type="pct"/>
            <w:tcBorders>
              <w:top w:val="single" w:sz="12"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752149E7"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98</w:t>
            </w:r>
          </w:p>
        </w:tc>
        <w:tc>
          <w:tcPr>
            <w:tcW w:w="69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191D0DD8"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31%</w:t>
            </w:r>
          </w:p>
        </w:tc>
        <w:tc>
          <w:tcPr>
            <w:tcW w:w="502"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0AA8D2BE"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110%</w:t>
            </w:r>
          </w:p>
        </w:tc>
      </w:tr>
      <w:tr w:rsidR="006132E6" w:rsidRPr="00D322B1" w14:paraId="6F9C65AC" w14:textId="77777777" w:rsidTr="000A13D9">
        <w:trPr>
          <w:trHeight w:val="405"/>
        </w:trPr>
        <w:tc>
          <w:tcPr>
            <w:tcW w:w="765" w:type="pct"/>
            <w:tcBorders>
              <w:top w:val="single" w:sz="8" w:space="0" w:color="FFFFFF"/>
              <w:left w:val="single" w:sz="8" w:space="0" w:color="FFFFFF"/>
              <w:bottom w:val="single" w:sz="8" w:space="0" w:color="FFFFFF"/>
              <w:right w:val="single" w:sz="8" w:space="0" w:color="FFFFFF"/>
            </w:tcBorders>
            <w:shd w:val="clear" w:color="auto" w:fill="BFBFBF"/>
            <w:tcMar>
              <w:top w:w="15" w:type="dxa"/>
              <w:left w:w="15" w:type="dxa"/>
              <w:bottom w:w="0" w:type="dxa"/>
              <w:right w:w="15" w:type="dxa"/>
            </w:tcMar>
            <w:vAlign w:val="center"/>
            <w:hideMark/>
          </w:tcPr>
          <w:p w14:paraId="43599383"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Medianas </w:t>
            </w:r>
          </w:p>
        </w:tc>
        <w:tc>
          <w:tcPr>
            <w:tcW w:w="514"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5E7CD76A"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420</w:t>
            </w:r>
          </w:p>
        </w:tc>
        <w:tc>
          <w:tcPr>
            <w:tcW w:w="38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7660DAA4"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16%</w:t>
            </w:r>
          </w:p>
        </w:tc>
        <w:tc>
          <w:tcPr>
            <w:tcW w:w="582"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7CB0BD4F"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7.408</w:t>
            </w:r>
          </w:p>
        </w:tc>
        <w:tc>
          <w:tcPr>
            <w:tcW w:w="77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235B8A18"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30,5%</w:t>
            </w:r>
          </w:p>
        </w:tc>
        <w:tc>
          <w:tcPr>
            <w:tcW w:w="77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09CD8114"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18</w:t>
            </w:r>
          </w:p>
        </w:tc>
        <w:tc>
          <w:tcPr>
            <w:tcW w:w="69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2BDDA53F"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14%</w:t>
            </w:r>
          </w:p>
        </w:tc>
        <w:tc>
          <w:tcPr>
            <w:tcW w:w="502"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71193893"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51%</w:t>
            </w:r>
          </w:p>
        </w:tc>
      </w:tr>
      <w:tr w:rsidR="006132E6" w:rsidRPr="00D322B1" w14:paraId="7CC16ADD" w14:textId="77777777" w:rsidTr="000A13D9">
        <w:trPr>
          <w:trHeight w:val="405"/>
        </w:trPr>
        <w:tc>
          <w:tcPr>
            <w:tcW w:w="765" w:type="pct"/>
            <w:tcBorders>
              <w:top w:val="single" w:sz="8" w:space="0" w:color="FFFFFF"/>
              <w:left w:val="single" w:sz="8" w:space="0" w:color="FFFFFF"/>
              <w:bottom w:val="single" w:sz="8" w:space="0" w:color="FFFFFF"/>
              <w:right w:val="single" w:sz="8" w:space="0" w:color="FFFFFF"/>
            </w:tcBorders>
            <w:shd w:val="clear" w:color="auto" w:fill="BFBFBF"/>
            <w:tcMar>
              <w:top w:w="15" w:type="dxa"/>
              <w:left w:w="15" w:type="dxa"/>
              <w:bottom w:w="0" w:type="dxa"/>
              <w:right w:w="15" w:type="dxa"/>
            </w:tcMar>
            <w:vAlign w:val="center"/>
            <w:hideMark/>
          </w:tcPr>
          <w:p w14:paraId="5DF56481"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Pequeñas </w:t>
            </w:r>
          </w:p>
        </w:tc>
        <w:tc>
          <w:tcPr>
            <w:tcW w:w="514"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2A1D8DCB"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993</w:t>
            </w:r>
          </w:p>
        </w:tc>
        <w:tc>
          <w:tcPr>
            <w:tcW w:w="388"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4AD571EC"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38%</w:t>
            </w:r>
          </w:p>
        </w:tc>
        <w:tc>
          <w:tcPr>
            <w:tcW w:w="582"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79804804"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4.262</w:t>
            </w:r>
          </w:p>
        </w:tc>
        <w:tc>
          <w:tcPr>
            <w:tcW w:w="77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4957C720"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17,5%</w:t>
            </w:r>
          </w:p>
        </w:tc>
        <w:tc>
          <w:tcPr>
            <w:tcW w:w="77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477EF243"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4,3</w:t>
            </w:r>
          </w:p>
        </w:tc>
        <w:tc>
          <w:tcPr>
            <w:tcW w:w="696"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6C20D3CC"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-7%</w:t>
            </w:r>
          </w:p>
        </w:tc>
        <w:tc>
          <w:tcPr>
            <w:tcW w:w="502" w:type="pct"/>
            <w:tcBorders>
              <w:top w:val="single" w:sz="8" w:space="0" w:color="FFFFFF"/>
              <w:left w:val="single" w:sz="8" w:space="0" w:color="FFFFFF"/>
              <w:bottom w:val="single" w:sz="8" w:space="0" w:color="FFFFFF"/>
              <w:right w:val="single" w:sz="8" w:space="0" w:color="FFFFFF"/>
            </w:tcBorders>
            <w:shd w:val="clear" w:color="auto" w:fill="F3F9FA"/>
            <w:tcMar>
              <w:top w:w="15" w:type="dxa"/>
              <w:left w:w="15" w:type="dxa"/>
              <w:bottom w:w="0" w:type="dxa"/>
              <w:right w:w="15" w:type="dxa"/>
            </w:tcMar>
            <w:vAlign w:val="center"/>
            <w:hideMark/>
          </w:tcPr>
          <w:p w14:paraId="426A22AF"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6%</w:t>
            </w:r>
          </w:p>
        </w:tc>
      </w:tr>
      <w:tr w:rsidR="006132E6" w:rsidRPr="00D322B1" w14:paraId="0B6A4917" w14:textId="77777777" w:rsidTr="000A13D9">
        <w:trPr>
          <w:trHeight w:val="405"/>
        </w:trPr>
        <w:tc>
          <w:tcPr>
            <w:tcW w:w="765" w:type="pct"/>
            <w:tcBorders>
              <w:top w:val="single" w:sz="8" w:space="0" w:color="FFFFFF"/>
              <w:left w:val="single" w:sz="8" w:space="0" w:color="FFFFFF"/>
              <w:bottom w:val="single" w:sz="8" w:space="0" w:color="FFFFFF"/>
              <w:right w:val="single" w:sz="8" w:space="0" w:color="FFFFFF"/>
            </w:tcBorders>
            <w:shd w:val="clear" w:color="auto" w:fill="BFBFBF"/>
            <w:tcMar>
              <w:top w:w="15" w:type="dxa"/>
              <w:left w:w="15" w:type="dxa"/>
              <w:bottom w:w="0" w:type="dxa"/>
              <w:right w:w="15" w:type="dxa"/>
            </w:tcMar>
            <w:vAlign w:val="center"/>
            <w:hideMark/>
          </w:tcPr>
          <w:p w14:paraId="232D9194"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 xml:space="preserve">Micro </w:t>
            </w:r>
          </w:p>
        </w:tc>
        <w:tc>
          <w:tcPr>
            <w:tcW w:w="514"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2636A6D2"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1097</w:t>
            </w:r>
          </w:p>
        </w:tc>
        <w:tc>
          <w:tcPr>
            <w:tcW w:w="388"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19AA87C7"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42%</w:t>
            </w:r>
          </w:p>
        </w:tc>
        <w:tc>
          <w:tcPr>
            <w:tcW w:w="582"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3E27ADB1"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677</w:t>
            </w:r>
          </w:p>
        </w:tc>
        <w:tc>
          <w:tcPr>
            <w:tcW w:w="77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133F3552"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2,8%</w:t>
            </w:r>
          </w:p>
        </w:tc>
        <w:tc>
          <w:tcPr>
            <w:tcW w:w="77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7AED5258"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kern w:val="24"/>
                <w:lang w:val="es-ES"/>
              </w:rPr>
              <w:t>0,6</w:t>
            </w:r>
          </w:p>
        </w:tc>
        <w:tc>
          <w:tcPr>
            <w:tcW w:w="696"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7D7CE5B6"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-18%</w:t>
            </w:r>
          </w:p>
        </w:tc>
        <w:tc>
          <w:tcPr>
            <w:tcW w:w="502" w:type="pct"/>
            <w:tcBorders>
              <w:top w:val="single" w:sz="8" w:space="0" w:color="FFFFFF"/>
              <w:left w:val="single" w:sz="8" w:space="0" w:color="FFFFFF"/>
              <w:bottom w:val="single" w:sz="8" w:space="0" w:color="FFFFFF"/>
              <w:right w:val="single" w:sz="8" w:space="0" w:color="FFFFFF"/>
            </w:tcBorders>
            <w:shd w:val="clear" w:color="auto" w:fill="E7F3F4"/>
            <w:tcMar>
              <w:top w:w="15" w:type="dxa"/>
              <w:left w:w="15" w:type="dxa"/>
              <w:bottom w:w="0" w:type="dxa"/>
              <w:right w:w="15" w:type="dxa"/>
            </w:tcMar>
            <w:vAlign w:val="center"/>
            <w:hideMark/>
          </w:tcPr>
          <w:p w14:paraId="3B857F1D" w14:textId="77777777" w:rsidR="006132E6" w:rsidRPr="002B5AB4" w:rsidRDefault="006132E6" w:rsidP="00D4710E">
            <w:pPr>
              <w:spacing w:line="276" w:lineRule="auto"/>
              <w:jc w:val="center"/>
              <w:textAlignment w:val="center"/>
              <w:rPr>
                <w:rFonts w:asciiTheme="majorHAnsi" w:hAnsiTheme="majorHAnsi" w:cstheme="majorHAnsi"/>
                <w:lang w:val="es-ES"/>
              </w:rPr>
            </w:pPr>
            <w:r w:rsidRPr="002B5AB4">
              <w:rPr>
                <w:rFonts w:asciiTheme="majorHAnsi" w:eastAsia="MS PGothic" w:hAnsiTheme="majorHAnsi" w:cstheme="majorHAnsi"/>
                <w:b/>
                <w:bCs/>
                <w:kern w:val="24"/>
                <w:lang w:val="es-ES"/>
              </w:rPr>
              <w:t>-19%</w:t>
            </w:r>
          </w:p>
        </w:tc>
      </w:tr>
    </w:tbl>
    <w:p w14:paraId="0782AAC3" w14:textId="77777777" w:rsidR="006132E6" w:rsidRPr="00D322B1" w:rsidRDefault="006132E6" w:rsidP="00D4710E">
      <w:pPr>
        <w:spacing w:after="240" w:line="276" w:lineRule="auto"/>
        <w:ind w:left="284"/>
        <w:jc w:val="both"/>
        <w:rPr>
          <w:rFonts w:asciiTheme="majorHAnsi" w:hAnsiTheme="majorHAnsi" w:cstheme="majorHAnsi"/>
          <w:sz w:val="24"/>
          <w:szCs w:val="24"/>
        </w:rPr>
      </w:pPr>
    </w:p>
    <w:p w14:paraId="3ADD9F2E" w14:textId="77777777" w:rsidR="006132E6" w:rsidRPr="00D322B1" w:rsidRDefault="006132E6" w:rsidP="00D4710E">
      <w:p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rPr>
        <w:t xml:space="preserve">El cooperativismo posee un fuerte vínculo con el territorio, contando con más de 1.100.000 socios, de las más de 3.600 cooperativas existentes en el territorio nacional, que representan en torno al 17% del total de cooperativas agroalimentarias existentes en la UE (% referido a datos COPA-COGECA 2014). </w:t>
      </w:r>
    </w:p>
    <w:p w14:paraId="63308538" w14:textId="77777777" w:rsidR="006132E6" w:rsidRPr="00D322B1" w:rsidRDefault="006132E6" w:rsidP="00D4710E">
      <w:p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lastRenderedPageBreak/>
        <w:t xml:space="preserve">Del total de cooperativas, un 83% son de 1º grado, un 13% de segundo grado y el resto son Cooperativas de explotación comunitaria de la tierra. </w:t>
      </w:r>
      <w:r w:rsidRPr="00D322B1">
        <w:rPr>
          <w:rFonts w:asciiTheme="majorHAnsi" w:hAnsiTheme="majorHAnsi" w:cstheme="majorHAnsi"/>
          <w:sz w:val="24"/>
          <w:szCs w:val="24"/>
        </w:rPr>
        <w:t xml:space="preserve">Las 134 cooperativas de segundo grado son estratégicas como </w:t>
      </w:r>
      <w:r w:rsidRPr="00D322B1">
        <w:rPr>
          <w:rFonts w:asciiTheme="majorHAnsi" w:hAnsiTheme="majorHAnsi" w:cstheme="majorHAnsi"/>
          <w:bCs/>
          <w:sz w:val="24"/>
          <w:szCs w:val="24"/>
        </w:rPr>
        <w:t xml:space="preserve">estructuras vertebradoras </w:t>
      </w:r>
      <w:r w:rsidRPr="00D322B1">
        <w:rPr>
          <w:rFonts w:asciiTheme="majorHAnsi" w:hAnsiTheme="majorHAnsi" w:cstheme="majorHAnsi"/>
          <w:sz w:val="24"/>
          <w:szCs w:val="24"/>
        </w:rPr>
        <w:t xml:space="preserve">(concentran y gestionan la transformación/ comercialización de un importantísimo volumen de producto de las cooperativas de base) y </w:t>
      </w:r>
      <w:r w:rsidRPr="00D322B1">
        <w:rPr>
          <w:rFonts w:asciiTheme="majorHAnsi" w:hAnsiTheme="majorHAnsi" w:cstheme="majorHAnsi"/>
          <w:sz w:val="24"/>
          <w:szCs w:val="24"/>
          <w:lang w:val="es-ES"/>
        </w:rPr>
        <w:t>concentran el 23</w:t>
      </w:r>
      <w:r w:rsidRPr="00D322B1">
        <w:rPr>
          <w:rFonts w:asciiTheme="majorHAnsi" w:hAnsiTheme="majorHAnsi" w:cstheme="majorHAnsi"/>
          <w:bCs/>
          <w:sz w:val="24"/>
          <w:szCs w:val="24"/>
          <w:lang w:val="es-ES"/>
        </w:rPr>
        <w:t xml:space="preserve">% </w:t>
      </w:r>
      <w:r w:rsidRPr="00D322B1">
        <w:rPr>
          <w:rFonts w:asciiTheme="majorHAnsi" w:hAnsiTheme="majorHAnsi" w:cstheme="majorHAnsi"/>
          <w:sz w:val="24"/>
          <w:szCs w:val="24"/>
          <w:lang w:val="es-ES"/>
        </w:rPr>
        <w:t>de la facturación total (facturación media de las cooperativas de segundo grado es de 53 M€).</w:t>
      </w:r>
    </w:p>
    <w:p w14:paraId="0B3CA23A" w14:textId="77777777" w:rsidR="006132E6" w:rsidRPr="00D322B1" w:rsidRDefault="006132E6" w:rsidP="00D4710E">
      <w:pPr>
        <w:spacing w:after="240" w:line="276" w:lineRule="auto"/>
        <w:ind w:left="284"/>
        <w:jc w:val="both"/>
        <w:rPr>
          <w:rFonts w:asciiTheme="majorHAnsi" w:hAnsiTheme="majorHAnsi" w:cstheme="majorHAnsi"/>
          <w:sz w:val="24"/>
          <w:szCs w:val="24"/>
          <w:lang w:val="es-ES"/>
        </w:rPr>
      </w:pPr>
      <w:r w:rsidRPr="00D322B1">
        <w:rPr>
          <w:rFonts w:asciiTheme="majorHAnsi" w:hAnsiTheme="majorHAnsi" w:cstheme="majorHAnsi"/>
          <w:noProof/>
          <w:sz w:val="24"/>
          <w:szCs w:val="24"/>
          <w:lang w:val="es-ES"/>
        </w:rPr>
        <w:drawing>
          <wp:inline distT="0" distB="0" distL="0" distR="0" wp14:anchorId="70E65FAA" wp14:editId="50F0DEFD">
            <wp:extent cx="4440327" cy="225239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298" cy="2262528"/>
                    </a:xfrm>
                    <a:prstGeom prst="rect">
                      <a:avLst/>
                    </a:prstGeom>
                    <a:noFill/>
                  </pic:spPr>
                </pic:pic>
              </a:graphicData>
            </a:graphic>
          </wp:inline>
        </w:drawing>
      </w:r>
    </w:p>
    <w:p w14:paraId="3028454A" w14:textId="77777777" w:rsidR="006132E6" w:rsidRPr="00D322B1" w:rsidRDefault="006132E6" w:rsidP="00D4710E">
      <w:p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Los principales sectores por volumen de facturación y número de cooperativas son los sectores de Suministros, Frutas y Hortalizas, Aceite de oliva, Vino y Cultivos herbáceos. Estos son, asimismo, los sectores cooperativos de mayor grado de concentración y mayor facturación media por cooperativa.</w:t>
      </w:r>
    </w:p>
    <w:p w14:paraId="13F706E5" w14:textId="77777777" w:rsidR="006132E6" w:rsidRPr="00D322B1" w:rsidRDefault="006132E6" w:rsidP="00D4710E">
      <w:pPr>
        <w:spacing w:after="240" w:line="276" w:lineRule="auto"/>
        <w:ind w:left="284"/>
        <w:jc w:val="both"/>
        <w:rPr>
          <w:rFonts w:asciiTheme="majorHAnsi" w:hAnsiTheme="majorHAnsi" w:cstheme="majorHAnsi"/>
          <w:sz w:val="24"/>
          <w:szCs w:val="24"/>
          <w:lang w:val="es-ES"/>
        </w:rPr>
      </w:pPr>
      <w:r w:rsidRPr="00D322B1">
        <w:rPr>
          <w:rFonts w:asciiTheme="majorHAnsi" w:hAnsiTheme="majorHAnsi" w:cstheme="majorHAnsi"/>
          <w:noProof/>
          <w:sz w:val="24"/>
          <w:szCs w:val="24"/>
          <w:lang w:val="es-ES"/>
        </w:rPr>
        <w:drawing>
          <wp:inline distT="0" distB="0" distL="0" distR="0" wp14:anchorId="43A76ED8" wp14:editId="095433A2">
            <wp:extent cx="5047996" cy="3318630"/>
            <wp:effectExtent l="0" t="0" r="0" b="0"/>
            <wp:docPr id="2950" name="Imagen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3735" cy="3322403"/>
                    </a:xfrm>
                    <a:prstGeom prst="rect">
                      <a:avLst/>
                    </a:prstGeom>
                    <a:noFill/>
                  </pic:spPr>
                </pic:pic>
              </a:graphicData>
            </a:graphic>
          </wp:inline>
        </w:drawing>
      </w:r>
    </w:p>
    <w:p w14:paraId="06D03EF6" w14:textId="77777777" w:rsidR="006132E6" w:rsidRPr="00D322B1" w:rsidRDefault="006132E6" w:rsidP="00D4710E">
      <w:pPr>
        <w:spacing w:after="240" w:line="276" w:lineRule="auto"/>
        <w:jc w:val="both"/>
        <w:rPr>
          <w:rFonts w:asciiTheme="majorHAnsi" w:hAnsiTheme="majorHAnsi" w:cstheme="majorHAnsi"/>
          <w:sz w:val="24"/>
          <w:szCs w:val="24"/>
        </w:rPr>
      </w:pPr>
      <w:r w:rsidRPr="00D322B1">
        <w:rPr>
          <w:rFonts w:asciiTheme="majorHAnsi" w:hAnsiTheme="majorHAnsi" w:cstheme="majorHAnsi"/>
          <w:sz w:val="24"/>
          <w:szCs w:val="24"/>
          <w:lang w:val="es-ES"/>
        </w:rPr>
        <w:lastRenderedPageBreak/>
        <w:t xml:space="preserve">En relación a la Internacionalización, en 2017, las exportaciones de las cooperativas agroalimentarias representaron el 32% de la facturación total del colectivo, representando </w:t>
      </w:r>
      <w:r w:rsidRPr="00D322B1">
        <w:rPr>
          <w:rFonts w:asciiTheme="majorHAnsi" w:hAnsiTheme="majorHAnsi" w:cstheme="majorHAnsi"/>
          <w:sz w:val="24"/>
          <w:szCs w:val="24"/>
        </w:rPr>
        <w:t xml:space="preserve">un </w:t>
      </w:r>
      <w:r w:rsidRPr="00D322B1">
        <w:rPr>
          <w:rFonts w:asciiTheme="majorHAnsi" w:hAnsiTheme="majorHAnsi" w:cstheme="majorHAnsi"/>
          <w:bCs/>
          <w:sz w:val="24"/>
          <w:szCs w:val="24"/>
        </w:rPr>
        <w:t xml:space="preserve">18% </w:t>
      </w:r>
      <w:r w:rsidRPr="00D322B1">
        <w:rPr>
          <w:rFonts w:asciiTheme="majorHAnsi" w:hAnsiTheme="majorHAnsi" w:cstheme="majorHAnsi"/>
          <w:sz w:val="24"/>
          <w:szCs w:val="24"/>
        </w:rPr>
        <w:t xml:space="preserve">de la </w:t>
      </w:r>
      <w:r w:rsidRPr="00D322B1">
        <w:rPr>
          <w:rFonts w:asciiTheme="majorHAnsi" w:hAnsiTheme="majorHAnsi" w:cstheme="majorHAnsi"/>
          <w:bCs/>
          <w:sz w:val="24"/>
          <w:szCs w:val="24"/>
        </w:rPr>
        <w:t>facturación exportadora del conjunto del sector agroalimentario español (sin pesca)</w:t>
      </w:r>
      <w:r w:rsidRPr="00D322B1">
        <w:rPr>
          <w:rFonts w:asciiTheme="majorHAnsi" w:hAnsiTheme="majorHAnsi" w:cstheme="majorHAnsi"/>
          <w:sz w:val="24"/>
          <w:szCs w:val="24"/>
        </w:rPr>
        <w:t>.</w:t>
      </w:r>
    </w:p>
    <w:p w14:paraId="7E0C0694" w14:textId="77777777" w:rsidR="006132E6" w:rsidRPr="00D322B1" w:rsidRDefault="006132E6" w:rsidP="00D4710E">
      <w:pPr>
        <w:spacing w:after="240" w:line="276" w:lineRule="auto"/>
        <w:ind w:left="284"/>
        <w:jc w:val="both"/>
        <w:rPr>
          <w:rFonts w:asciiTheme="majorHAnsi" w:hAnsiTheme="majorHAnsi" w:cstheme="majorHAnsi"/>
          <w:sz w:val="24"/>
          <w:szCs w:val="24"/>
        </w:rPr>
      </w:pPr>
      <w:r w:rsidRPr="00D322B1">
        <w:rPr>
          <w:rFonts w:asciiTheme="majorHAnsi" w:hAnsiTheme="majorHAnsi" w:cstheme="majorHAnsi"/>
          <w:noProof/>
          <w:sz w:val="24"/>
          <w:szCs w:val="24"/>
          <w:lang w:val="es-ES"/>
        </w:rPr>
        <w:drawing>
          <wp:inline distT="0" distB="0" distL="0" distR="0" wp14:anchorId="7E4D752F" wp14:editId="7C959A23">
            <wp:extent cx="4803775" cy="2255520"/>
            <wp:effectExtent l="0" t="0" r="0" b="0"/>
            <wp:docPr id="2953" name="Imagen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3775" cy="2255520"/>
                    </a:xfrm>
                    <a:prstGeom prst="rect">
                      <a:avLst/>
                    </a:prstGeom>
                    <a:noFill/>
                  </pic:spPr>
                </pic:pic>
              </a:graphicData>
            </a:graphic>
          </wp:inline>
        </w:drawing>
      </w:r>
    </w:p>
    <w:p w14:paraId="2E656A35" w14:textId="77777777" w:rsidR="006132E6" w:rsidRPr="00D322B1" w:rsidRDefault="006132E6" w:rsidP="00D4710E">
      <w:pPr>
        <w:spacing w:after="240" w:line="276" w:lineRule="auto"/>
        <w:jc w:val="both"/>
        <w:rPr>
          <w:rFonts w:asciiTheme="majorHAnsi" w:hAnsiTheme="majorHAnsi" w:cstheme="majorHAnsi"/>
          <w:sz w:val="24"/>
          <w:szCs w:val="24"/>
        </w:rPr>
      </w:pPr>
      <w:r w:rsidRPr="00D322B1">
        <w:rPr>
          <w:rFonts w:asciiTheme="majorHAnsi" w:hAnsiTheme="majorHAnsi" w:cstheme="majorHAnsi"/>
          <w:sz w:val="24"/>
          <w:szCs w:val="24"/>
          <w:lang w:val="es-ES"/>
        </w:rPr>
        <w:t>En cuanto al empleo</w:t>
      </w:r>
      <w:r w:rsidRPr="00D322B1">
        <w:rPr>
          <w:rFonts w:asciiTheme="majorHAnsi" w:hAnsiTheme="majorHAnsi" w:cstheme="majorHAnsi"/>
          <w:sz w:val="24"/>
          <w:szCs w:val="24"/>
        </w:rPr>
        <w:t>, durante el año 2017, las cooperativas agroalimentarias proporcionaron empleo directo a 102.148 trabajadores. Este dato refleja el papel estratégico de las cooperativas y resto de entidades asociativas como dinamizadores de la economía y fijadores de población en los entornos rurales.</w:t>
      </w:r>
    </w:p>
    <w:p w14:paraId="03A83246" w14:textId="77777777" w:rsidR="006132E6" w:rsidRPr="00D322B1" w:rsidRDefault="006132E6" w:rsidP="00D4710E">
      <w:p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Evolución y tendencia: En el periodo 2007-2017 y a pesar del contexto económico, las cooperativas:</w:t>
      </w:r>
    </w:p>
    <w:p w14:paraId="669D51B0" w14:textId="77777777" w:rsidR="006132E6" w:rsidRPr="00D322B1" w:rsidRDefault="006132E6" w:rsidP="000033C1">
      <w:pPr>
        <w:numPr>
          <w:ilvl w:val="0"/>
          <w:numId w:val="28"/>
        </w:num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Continúan mostrando una tendencia general positiva, incrementando su facturación y empleo.</w:t>
      </w:r>
    </w:p>
    <w:p w14:paraId="3C53B7DC" w14:textId="77777777" w:rsidR="006132E6" w:rsidRPr="00D322B1" w:rsidRDefault="006132E6" w:rsidP="000033C1">
      <w:pPr>
        <w:numPr>
          <w:ilvl w:val="0"/>
          <w:numId w:val="28"/>
        </w:num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Siguen experimentando un aumento de la concentración empresarial, disminuyendo el número de cooperativas e incrementando el tamaño medio y la facturación media. Si bien, este proceso de concentración debe intensificarse para alcanzar un tamaño medio equivalente al de los países de la UE donde cuenta con un mayor nivel de desarrollo (Dinamarca y Holanda).</w:t>
      </w:r>
    </w:p>
    <w:p w14:paraId="72C1547A" w14:textId="77777777" w:rsidR="006132E6" w:rsidRPr="00D322B1" w:rsidRDefault="006132E6" w:rsidP="000033C1">
      <w:pPr>
        <w:numPr>
          <w:ilvl w:val="0"/>
          <w:numId w:val="28"/>
        </w:num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Dimensión y concentración: Aunque se observa una tendencia a la integración e incremento de la dimensión, el 68% de las cooperativas tienen una dimensión inferior a 5 M€ y el 32% restante, factura el 89% del total del cooperativismo.</w:t>
      </w:r>
    </w:p>
    <w:p w14:paraId="7DD2B930" w14:textId="77777777" w:rsidR="006132E6" w:rsidRPr="00D322B1" w:rsidRDefault="006132E6" w:rsidP="000033C1">
      <w:pPr>
        <w:numPr>
          <w:ilvl w:val="0"/>
          <w:numId w:val="28"/>
        </w:num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sz w:val="24"/>
          <w:szCs w:val="24"/>
          <w:lang w:val="es-ES"/>
        </w:rPr>
        <w:t xml:space="preserve">Han incrementado de manera significativa su dinamismo exportador, especialmente las cooperativas de mayor tamaño, que a su vez son las mejor dimensionadas. Así, el conjunto de las 20 cooperativas más internacionalizadas </w:t>
      </w:r>
      <w:r w:rsidRPr="00D322B1">
        <w:rPr>
          <w:rFonts w:asciiTheme="majorHAnsi" w:hAnsiTheme="majorHAnsi" w:cstheme="majorHAnsi"/>
          <w:sz w:val="24"/>
          <w:szCs w:val="24"/>
          <w:lang w:val="es-ES"/>
        </w:rPr>
        <w:lastRenderedPageBreak/>
        <w:t>supone una exportación promedio de 161 M€ por cooperativa y una tasa de exportación media del 73% por empresa.</w:t>
      </w:r>
    </w:p>
    <w:p w14:paraId="181763CC" w14:textId="77777777" w:rsidR="006132E6" w:rsidRPr="00D322B1" w:rsidRDefault="006132E6" w:rsidP="00D4710E">
      <w:pPr>
        <w:spacing w:after="240" w:line="276" w:lineRule="auto"/>
        <w:jc w:val="both"/>
        <w:rPr>
          <w:rFonts w:asciiTheme="majorHAnsi" w:hAnsiTheme="majorHAnsi" w:cstheme="majorHAnsi"/>
          <w:sz w:val="24"/>
          <w:szCs w:val="24"/>
          <w:lang w:val="es-ES"/>
        </w:rPr>
      </w:pPr>
      <w:r w:rsidRPr="00D322B1">
        <w:rPr>
          <w:rFonts w:asciiTheme="majorHAnsi" w:hAnsiTheme="majorHAnsi" w:cstheme="majorHAnsi"/>
          <w:noProof/>
          <w:sz w:val="24"/>
          <w:szCs w:val="24"/>
          <w:lang w:val="es-ES"/>
        </w:rPr>
        <w:drawing>
          <wp:inline distT="0" distB="0" distL="0" distR="0" wp14:anchorId="1247198B" wp14:editId="4CABA178">
            <wp:extent cx="5449367" cy="1925083"/>
            <wp:effectExtent l="0" t="0" r="0" b="0"/>
            <wp:docPr id="2954" name="Imagen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8447" cy="1928291"/>
                    </a:xfrm>
                    <a:prstGeom prst="rect">
                      <a:avLst/>
                    </a:prstGeom>
                    <a:noFill/>
                  </pic:spPr>
                </pic:pic>
              </a:graphicData>
            </a:graphic>
          </wp:inline>
        </w:drawing>
      </w:r>
    </w:p>
    <w:p w14:paraId="5E798AFF" w14:textId="4AE5916B" w:rsidR="00D322B1" w:rsidRDefault="006132E6" w:rsidP="00D4710E">
      <w:pPr>
        <w:spacing w:after="240" w:line="276" w:lineRule="auto"/>
        <w:jc w:val="both"/>
        <w:rPr>
          <w:rFonts w:asciiTheme="majorHAnsi" w:hAnsiTheme="majorHAnsi" w:cstheme="majorHAnsi"/>
          <w:sz w:val="24"/>
          <w:szCs w:val="24"/>
        </w:rPr>
      </w:pPr>
      <w:r w:rsidRPr="00D322B1">
        <w:rPr>
          <w:rFonts w:asciiTheme="majorHAnsi" w:hAnsiTheme="majorHAnsi" w:cstheme="majorHAnsi"/>
          <w:sz w:val="24"/>
          <w:szCs w:val="24"/>
        </w:rPr>
        <w:t xml:space="preserve">En base a la </w:t>
      </w:r>
      <w:r w:rsidRPr="00D322B1">
        <w:rPr>
          <w:rFonts w:asciiTheme="majorHAnsi" w:hAnsiTheme="majorHAnsi" w:cstheme="majorHAnsi"/>
          <w:sz w:val="24"/>
          <w:szCs w:val="24"/>
          <w:lang w:val="es-ES"/>
        </w:rPr>
        <w:t xml:space="preserve">necesidad de reformas estructurales para incrementar la facturación media de las cooperativas y aumentar la actividad </w:t>
      </w:r>
      <w:proofErr w:type="spellStart"/>
      <w:r w:rsidRPr="00D322B1">
        <w:rPr>
          <w:rFonts w:asciiTheme="majorHAnsi" w:hAnsiTheme="majorHAnsi" w:cstheme="majorHAnsi"/>
          <w:sz w:val="24"/>
          <w:szCs w:val="24"/>
          <w:lang w:val="es-ES"/>
        </w:rPr>
        <w:t>cooperativizada</w:t>
      </w:r>
      <w:proofErr w:type="spellEnd"/>
      <w:r w:rsidRPr="00D322B1">
        <w:rPr>
          <w:rFonts w:asciiTheme="majorHAnsi" w:hAnsiTheme="majorHAnsi" w:cstheme="majorHAnsi"/>
          <w:sz w:val="24"/>
          <w:szCs w:val="24"/>
          <w:lang w:val="es-ES"/>
        </w:rPr>
        <w:t xml:space="preserve">, se promulgó la </w:t>
      </w:r>
      <w:r w:rsidRPr="00D322B1">
        <w:rPr>
          <w:rFonts w:asciiTheme="majorHAnsi" w:hAnsiTheme="majorHAnsi" w:cstheme="majorHAnsi"/>
          <w:sz w:val="24"/>
          <w:szCs w:val="24"/>
        </w:rPr>
        <w:t>Ley 13/2013, de 2 de agosto, de fomento de la integración de cooperativas y de otras entidades asociativas de carácter agroalimentario. Con esta norma se pretende impulsar un modelo cooperativo empresarial, profesionalizado, generador de valor y empleo, con dimensión relevante. En concreto se pretende contribuir a la mejora de la renta de los productores integrados, mejorar la estructura de la oferta y la competitivida</w:t>
      </w:r>
      <w:r w:rsidR="00D4710E">
        <w:rPr>
          <w:rFonts w:asciiTheme="majorHAnsi" w:hAnsiTheme="majorHAnsi" w:cstheme="majorHAnsi"/>
          <w:sz w:val="24"/>
          <w:szCs w:val="24"/>
        </w:rPr>
        <w:t>d de las entidades asociativas.</w:t>
      </w:r>
    </w:p>
    <w:p w14:paraId="1767AA4C" w14:textId="73A35801" w:rsidR="00385F7D" w:rsidRPr="00F3311F" w:rsidRDefault="00C04B84" w:rsidP="00D4710E">
      <w:pPr>
        <w:spacing w:after="240" w:line="276" w:lineRule="auto"/>
        <w:jc w:val="both"/>
        <w:rPr>
          <w:rFonts w:asciiTheme="majorHAnsi" w:hAnsiTheme="majorHAnsi" w:cstheme="majorHAnsi"/>
          <w:bCs/>
          <w:sz w:val="24"/>
          <w:szCs w:val="22"/>
        </w:rPr>
      </w:pPr>
      <w:r w:rsidRPr="00C04B84">
        <w:rPr>
          <w:rFonts w:asciiTheme="majorHAnsi" w:hAnsiTheme="majorHAnsi" w:cstheme="majorHAnsi"/>
          <w:b/>
          <w:bCs/>
          <w:sz w:val="24"/>
          <w:szCs w:val="22"/>
          <w:u w:val="single"/>
        </w:rPr>
        <w:t>Organizaciones Interprofesionales</w:t>
      </w:r>
      <w:r>
        <w:rPr>
          <w:rFonts w:asciiTheme="majorHAnsi" w:hAnsiTheme="majorHAnsi" w:cstheme="majorHAnsi"/>
          <w:bCs/>
          <w:sz w:val="24"/>
          <w:szCs w:val="22"/>
        </w:rPr>
        <w:t xml:space="preserve">: </w:t>
      </w:r>
      <w:r w:rsidR="00385F7D" w:rsidRPr="00F3311F">
        <w:rPr>
          <w:rFonts w:asciiTheme="majorHAnsi" w:hAnsiTheme="majorHAnsi" w:cstheme="majorHAnsi"/>
          <w:bCs/>
          <w:sz w:val="24"/>
          <w:szCs w:val="22"/>
        </w:rPr>
        <w:t xml:space="preserve">El objetivo básico que pretende alcanzarse a través de la implantación  y desarrollo de las organizaciones interprofesionales es la </w:t>
      </w:r>
      <w:r w:rsidR="00385F7D" w:rsidRPr="00F3311F">
        <w:rPr>
          <w:rFonts w:asciiTheme="majorHAnsi" w:hAnsiTheme="majorHAnsi" w:cstheme="majorHAnsi"/>
          <w:bCs/>
          <w:sz w:val="24"/>
          <w:szCs w:val="22"/>
          <w:u w:val="single"/>
        </w:rPr>
        <w:t>integración vertical del sector agroalimentario</w:t>
      </w:r>
      <w:r w:rsidR="00385F7D" w:rsidRPr="00F3311F">
        <w:rPr>
          <w:rFonts w:asciiTheme="majorHAnsi" w:hAnsiTheme="majorHAnsi" w:cstheme="majorHAnsi"/>
          <w:bCs/>
          <w:sz w:val="24"/>
          <w:szCs w:val="22"/>
        </w:rPr>
        <w:t>.</w:t>
      </w:r>
    </w:p>
    <w:p w14:paraId="24B5A561" w14:textId="7EFCD87B" w:rsidR="00744590" w:rsidRPr="00F3311F" w:rsidRDefault="00744590" w:rsidP="00D4710E">
      <w:pPr>
        <w:spacing w:after="240" w:line="276" w:lineRule="auto"/>
        <w:jc w:val="both"/>
        <w:rPr>
          <w:rFonts w:asciiTheme="majorHAnsi" w:hAnsiTheme="majorHAnsi" w:cstheme="majorHAnsi"/>
          <w:sz w:val="24"/>
          <w:szCs w:val="22"/>
        </w:rPr>
      </w:pPr>
      <w:r w:rsidRPr="00F3311F">
        <w:rPr>
          <w:rFonts w:asciiTheme="majorHAnsi" w:hAnsiTheme="majorHAnsi" w:cstheme="majorHAnsi"/>
          <w:sz w:val="24"/>
          <w:szCs w:val="22"/>
        </w:rPr>
        <w:t>Además, de permitir la integración vertical del sector agroalimentario y mejorar la representación de sus intereses,</w:t>
      </w:r>
      <w:r w:rsidR="00722CE3" w:rsidRPr="00F3311F">
        <w:rPr>
          <w:rFonts w:asciiTheme="majorHAnsi" w:hAnsiTheme="majorHAnsi" w:cstheme="majorHAnsi"/>
          <w:sz w:val="24"/>
          <w:szCs w:val="22"/>
        </w:rPr>
        <w:t xml:space="preserve"> las interprofesionales</w:t>
      </w:r>
      <w:r w:rsidRPr="00F3311F">
        <w:rPr>
          <w:rFonts w:asciiTheme="majorHAnsi" w:hAnsiTheme="majorHAnsi" w:cstheme="majorHAnsi"/>
          <w:sz w:val="24"/>
          <w:szCs w:val="22"/>
        </w:rPr>
        <w:t xml:space="preserve"> constituyen un foro permanente de encuentro y diálogo entre los distintos agentes de la cadena agroalimentaria, alcanzando un nivel de colaboración capaz de generar sinergias accesibles al conjunto de los agentes económicos.</w:t>
      </w:r>
    </w:p>
    <w:p w14:paraId="2EF7CF37" w14:textId="67964577" w:rsidR="00744590" w:rsidRPr="00F3311F" w:rsidRDefault="00744590" w:rsidP="00D4710E">
      <w:pPr>
        <w:spacing w:after="240" w:line="276" w:lineRule="auto"/>
        <w:jc w:val="both"/>
        <w:rPr>
          <w:rFonts w:asciiTheme="majorHAnsi" w:hAnsiTheme="majorHAnsi" w:cstheme="majorHAnsi"/>
          <w:sz w:val="24"/>
          <w:szCs w:val="22"/>
        </w:rPr>
      </w:pPr>
      <w:r w:rsidRPr="00F3311F">
        <w:rPr>
          <w:rFonts w:asciiTheme="majorHAnsi" w:hAnsiTheme="majorHAnsi" w:cstheme="majorHAnsi"/>
          <w:sz w:val="24"/>
          <w:szCs w:val="22"/>
        </w:rPr>
        <w:t>Las interprofesionales crean el espacio adecuado para aunar los esfuerzos, tanto de los productores y comercialización, como de la propia distribución, facilitando la generación de valor a lo largo de la cadena y su distribución entre los distintos operadores.</w:t>
      </w:r>
    </w:p>
    <w:p w14:paraId="2B73CFF6" w14:textId="357BE726" w:rsidR="00722CE3" w:rsidRPr="00F3311F" w:rsidRDefault="00385F7D" w:rsidP="00D4710E">
      <w:pPr>
        <w:spacing w:after="240"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Debe significarse asimismo, que estas organizaciones desempeñan una destacada función de </w:t>
      </w:r>
      <w:r w:rsidRPr="00F3311F">
        <w:rPr>
          <w:rFonts w:asciiTheme="majorHAnsi" w:hAnsiTheme="majorHAnsi" w:cstheme="majorHAnsi"/>
          <w:sz w:val="24"/>
          <w:szCs w:val="22"/>
          <w:u w:val="single"/>
        </w:rPr>
        <w:t>interlocución y colaboración con las administraciones públicas</w:t>
      </w:r>
      <w:r w:rsidRPr="00F3311F">
        <w:rPr>
          <w:rFonts w:asciiTheme="majorHAnsi" w:hAnsiTheme="majorHAnsi" w:cstheme="majorHAnsi"/>
          <w:sz w:val="24"/>
          <w:szCs w:val="22"/>
        </w:rPr>
        <w:t xml:space="preserve">, de gran importancia a la hora de definir y negociar las políticas agrarias, recoger las inquietudes del sector y proponer  posibles alternativas o soluciones a los problemas existentes. Esta función de colaboración con los poderes públicos comporta grandes beneficios para </w:t>
      </w:r>
      <w:r w:rsidRPr="00F3311F">
        <w:rPr>
          <w:rFonts w:asciiTheme="majorHAnsi" w:hAnsiTheme="majorHAnsi" w:cstheme="majorHAnsi"/>
          <w:sz w:val="24"/>
          <w:szCs w:val="22"/>
        </w:rPr>
        <w:lastRenderedPageBreak/>
        <w:t>todas las partes implicadas, incluyendo los consumidores destinatarios de los productos agroalimentarios.</w:t>
      </w:r>
    </w:p>
    <w:p w14:paraId="2F492035" w14:textId="65F2BACE" w:rsidR="00385F7D" w:rsidRPr="00F3311F" w:rsidRDefault="00385F7D" w:rsidP="00D4710E">
      <w:pPr>
        <w:spacing w:after="240" w:line="276" w:lineRule="auto"/>
        <w:jc w:val="both"/>
        <w:rPr>
          <w:rFonts w:asciiTheme="majorHAnsi" w:hAnsiTheme="majorHAnsi" w:cstheme="majorHAnsi"/>
          <w:sz w:val="24"/>
          <w:szCs w:val="22"/>
        </w:rPr>
      </w:pPr>
      <w:r w:rsidRPr="00F3311F">
        <w:rPr>
          <w:rFonts w:asciiTheme="majorHAnsi" w:hAnsiTheme="majorHAnsi" w:cstheme="majorHAnsi"/>
          <w:sz w:val="24"/>
          <w:szCs w:val="22"/>
        </w:rPr>
        <w:t xml:space="preserve">En España existen actualmente </w:t>
      </w:r>
      <w:r w:rsidRPr="006E65C9">
        <w:rPr>
          <w:rFonts w:asciiTheme="majorHAnsi" w:hAnsiTheme="majorHAnsi" w:cstheme="majorHAnsi"/>
          <w:sz w:val="24"/>
          <w:szCs w:val="22"/>
        </w:rPr>
        <w:t>2</w:t>
      </w:r>
      <w:r w:rsidR="0067073E" w:rsidRPr="006E65C9">
        <w:rPr>
          <w:rFonts w:asciiTheme="majorHAnsi" w:hAnsiTheme="majorHAnsi" w:cstheme="majorHAnsi"/>
          <w:sz w:val="24"/>
          <w:szCs w:val="22"/>
        </w:rPr>
        <w:t>5</w:t>
      </w:r>
      <w:r w:rsidRPr="00F3311F">
        <w:rPr>
          <w:rFonts w:asciiTheme="majorHAnsi" w:hAnsiTheme="majorHAnsi" w:cstheme="majorHAnsi"/>
          <w:sz w:val="24"/>
          <w:szCs w:val="22"/>
        </w:rPr>
        <w:t xml:space="preserve"> organizaciones interprofesionales </w:t>
      </w:r>
      <w:r w:rsidR="00BC48A3" w:rsidRPr="00F3311F">
        <w:rPr>
          <w:rFonts w:asciiTheme="majorHAnsi" w:hAnsiTheme="majorHAnsi" w:cstheme="majorHAnsi"/>
          <w:sz w:val="24"/>
          <w:szCs w:val="22"/>
        </w:rPr>
        <w:t>reconocidas</w:t>
      </w:r>
      <w:r w:rsidR="00C04B84">
        <w:rPr>
          <w:rFonts w:asciiTheme="majorHAnsi" w:hAnsiTheme="majorHAnsi" w:cstheme="majorHAnsi"/>
          <w:sz w:val="24"/>
          <w:szCs w:val="22"/>
        </w:rPr>
        <w:t xml:space="preserve"> (más una que será reconocida en el Consejo de Interprofesionales de 23 de julio de 2019) </w:t>
      </w:r>
      <w:r w:rsidRPr="00F3311F">
        <w:rPr>
          <w:rFonts w:asciiTheme="majorHAnsi" w:hAnsiTheme="majorHAnsi" w:cstheme="majorHAnsi"/>
          <w:sz w:val="24"/>
          <w:szCs w:val="22"/>
        </w:rPr>
        <w:t>por el Ministerio. En general el balance es satisfactorio y vienen desarrollando un destacado papel en la defensa de los intereses sectoriales y en la búsqueda del progreso y la mejora de las relaciones  entre los distintos eslabones de la cadena alimentaria.</w:t>
      </w:r>
    </w:p>
    <w:p w14:paraId="05823642" w14:textId="0C90DF7C" w:rsidR="00B64ED9" w:rsidRPr="00F3311F" w:rsidRDefault="00147881" w:rsidP="00D4710E">
      <w:pPr>
        <w:spacing w:after="240" w:line="276" w:lineRule="auto"/>
        <w:jc w:val="both"/>
        <w:rPr>
          <w:rFonts w:asciiTheme="majorHAnsi" w:hAnsiTheme="majorHAnsi" w:cstheme="majorHAnsi"/>
          <w:sz w:val="24"/>
          <w:szCs w:val="22"/>
        </w:rPr>
      </w:pPr>
      <w:r>
        <w:rPr>
          <w:rFonts w:asciiTheme="majorHAnsi" w:hAnsiTheme="majorHAnsi" w:cstheme="majorHAnsi"/>
          <w:sz w:val="24"/>
          <w:szCs w:val="22"/>
        </w:rPr>
        <w:t>Las organizaciones interprofesionales tiene la posibilidad de solicitar una extensión de norma. L</w:t>
      </w:r>
      <w:r w:rsidR="00B64ED9" w:rsidRPr="00F3311F">
        <w:rPr>
          <w:rFonts w:asciiTheme="majorHAnsi" w:hAnsiTheme="majorHAnsi" w:cstheme="majorHAnsi"/>
          <w:sz w:val="24"/>
          <w:szCs w:val="22"/>
        </w:rPr>
        <w:t xml:space="preserve">a </w:t>
      </w:r>
      <w:r w:rsidR="00B64ED9" w:rsidRPr="00F3311F">
        <w:rPr>
          <w:rFonts w:asciiTheme="majorHAnsi" w:hAnsiTheme="majorHAnsi" w:cstheme="majorHAnsi"/>
          <w:b/>
          <w:sz w:val="24"/>
          <w:szCs w:val="22"/>
        </w:rPr>
        <w:t>extensión de norma</w:t>
      </w:r>
      <w:r w:rsidR="00B64ED9" w:rsidRPr="00F3311F">
        <w:rPr>
          <w:rFonts w:asciiTheme="majorHAnsi" w:hAnsiTheme="majorHAnsi" w:cstheme="majorHAnsi"/>
          <w:sz w:val="24"/>
          <w:szCs w:val="22"/>
        </w:rPr>
        <w:t xml:space="preserve"> es un mecanismo instaurado por la Ley 38/1994, de 30 de diciembre, reguladora de las organizaciones interprofesionales agroalimentarias, que constituye el instrumento por excelencia de vertebración del sector agroalimentario.</w:t>
      </w:r>
    </w:p>
    <w:p w14:paraId="13CC91CA" w14:textId="4A337779" w:rsidR="002B5AB4" w:rsidRDefault="00C04B84" w:rsidP="00D4710E">
      <w:pPr>
        <w:spacing w:after="240" w:line="276" w:lineRule="auto"/>
        <w:jc w:val="both"/>
        <w:rPr>
          <w:rFonts w:asciiTheme="majorHAnsi" w:hAnsiTheme="majorHAnsi" w:cstheme="majorHAnsi"/>
          <w:sz w:val="24"/>
          <w:szCs w:val="22"/>
          <w:lang w:val="es-ES"/>
        </w:rPr>
      </w:pPr>
      <w:r w:rsidRPr="00C04B84">
        <w:rPr>
          <w:rFonts w:asciiTheme="majorHAnsi" w:hAnsiTheme="majorHAnsi" w:cstheme="majorHAnsi"/>
          <w:b/>
          <w:sz w:val="24"/>
          <w:szCs w:val="22"/>
          <w:u w:val="single"/>
          <w:lang w:val="es-ES"/>
        </w:rPr>
        <w:t>Organizaciones de Productores</w:t>
      </w:r>
      <w:r w:rsidR="002B5AB4">
        <w:rPr>
          <w:rFonts w:asciiTheme="majorHAnsi" w:hAnsiTheme="majorHAnsi" w:cstheme="majorHAnsi"/>
          <w:b/>
          <w:sz w:val="24"/>
          <w:szCs w:val="22"/>
          <w:u w:val="single"/>
          <w:lang w:val="es-ES"/>
        </w:rPr>
        <w:t xml:space="preserve"> (OP) y Asociaciones OP (AOP)</w:t>
      </w:r>
      <w:r>
        <w:rPr>
          <w:rFonts w:asciiTheme="majorHAnsi" w:hAnsiTheme="majorHAnsi" w:cstheme="majorHAnsi"/>
          <w:sz w:val="24"/>
          <w:szCs w:val="22"/>
          <w:lang w:val="es-ES"/>
        </w:rPr>
        <w:t xml:space="preserve">: </w:t>
      </w:r>
    </w:p>
    <w:p w14:paraId="077D4A5B" w14:textId="308D701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La reforma de la Política Agraria Común en 2013, reconoció la importante labor que pueden desempeñar las organizaciones de productores en la concentración de la oferta y en la mejora de la comercialización y planificación de la producción, así como en la adaptación de la producción a la demanda, la optimización de los costes de producción y la estabilización de los precios al productor. </w:t>
      </w:r>
    </w:p>
    <w:p w14:paraId="729A5B66"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Además, estas organizaciones podrían perseguir otra serie de finalidades, entre las que se encuentran, la investigación y fomento de prácticas sostenibles, la asistencia técnica a los productores, la gestión de los productos derivados y el desarrollo de instrumentos de gestión del riesgo, que igualmente contribuyen a fortalecer la posición de los productores en la cadena de valor alimentaria.</w:t>
      </w:r>
    </w:p>
    <w:p w14:paraId="78551E9B"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Con estos objetivos y buscando un mejor equilibrio en dicha cadena de valor, era necesario armonizar, racionalizar y ampliar las normas vigentes sobre la definición y el reconocimiento de las organizaciones de productores y sus asociaciones a nivel de la Unión Europea, de tal modo que los Estados miembros pudieran reconocerlas previa solicitud de los interesados y garantizar que se creasen a iniciativa de los productores y con un funcionamiento democrático.</w:t>
      </w:r>
    </w:p>
    <w:p w14:paraId="0A958223"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De este modo, el capítulo II del Título II del Reglamento 1308/2013 del Consejo y del Parlamento, de 17 de diciembre,  por el que se crea la Organización Común de Mercados de productos Agrarios (en adelante OCMA) y por el que se derogan los Reglamentos (CEE) nº 922/72, (CEE) nº 234/79, (CE) nº 1037/2001 y (CE) nº 1234/2007 (OCMA), define y establece las condiciones de reconocimiento de las organizaciones de productores y sus asociaciones constituidas por productores de un sector específico de los enumerados en </w:t>
      </w:r>
      <w:r w:rsidRPr="00BA0837">
        <w:rPr>
          <w:rFonts w:asciiTheme="majorHAnsi" w:hAnsiTheme="majorHAnsi" w:cstheme="majorHAnsi"/>
          <w:sz w:val="24"/>
          <w:szCs w:val="22"/>
          <w:lang w:val="es-ES"/>
        </w:rPr>
        <w:lastRenderedPageBreak/>
        <w:t>el apartado 2 del artículo 1 de dicho reglamento así como algunas disposiciones específicas de aplicación a ciertos sectores.</w:t>
      </w:r>
    </w:p>
    <w:p w14:paraId="4ADC0EB6"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Por otro lado, desde el pasado 1 de enero de 2018 son aplicables las modificaciones sobre los aspectos agrícolas introducidas por el Reglamento (UE) 2017/2393, del Parlamento Europeo y del Consejo, de 13 de diciembre por el que se modifican los Reglamentos (UE) nº 1305/2013 relativo a la ayuda al desarrollo rural a través del Fondo Europeo Agrícola de Desarrollo Rural (FEADER), (UE) nº 1306/2013 sobre la financiación, gestión y seguimiento de la política agrícola común, (UE) nº 1307/2013 por el que se establecen normas aplicables a los pagos directos a los agricultores en virtud de los regímenes de ayuda incluidos en el marco de la política agrícola común, (UE) nº 1308/2013 por el que se crea la organización común de mercados de los productos agrarios y (UE) nº 652/2014 por el que se establecen disposiciones para la gestión de los gastos relativos a la cadena alimentaria, la salud animal y el bienestar de los animales, y relativos a la </w:t>
      </w:r>
      <w:proofErr w:type="spellStart"/>
      <w:r w:rsidRPr="00BA0837">
        <w:rPr>
          <w:rFonts w:asciiTheme="majorHAnsi" w:hAnsiTheme="majorHAnsi" w:cstheme="majorHAnsi"/>
          <w:sz w:val="24"/>
          <w:szCs w:val="22"/>
          <w:lang w:val="es-ES"/>
        </w:rPr>
        <w:t>fitosanidad</w:t>
      </w:r>
      <w:proofErr w:type="spellEnd"/>
      <w:r w:rsidRPr="00BA0837">
        <w:rPr>
          <w:rFonts w:asciiTheme="majorHAnsi" w:hAnsiTheme="majorHAnsi" w:cstheme="majorHAnsi"/>
          <w:sz w:val="24"/>
          <w:szCs w:val="22"/>
          <w:lang w:val="es-ES"/>
        </w:rPr>
        <w:t xml:space="preserve"> y a los materiales de reproducción vegetal, conocido como reglamento “</w:t>
      </w:r>
      <w:proofErr w:type="spellStart"/>
      <w:r w:rsidRPr="00BA0837">
        <w:rPr>
          <w:rFonts w:asciiTheme="majorHAnsi" w:hAnsiTheme="majorHAnsi" w:cstheme="majorHAnsi"/>
          <w:sz w:val="24"/>
          <w:szCs w:val="22"/>
          <w:lang w:val="es-ES"/>
        </w:rPr>
        <w:t>Omnibus</w:t>
      </w:r>
      <w:proofErr w:type="spellEnd"/>
      <w:r w:rsidRPr="00BA0837">
        <w:rPr>
          <w:rFonts w:asciiTheme="majorHAnsi" w:hAnsiTheme="majorHAnsi" w:cstheme="majorHAnsi"/>
          <w:sz w:val="24"/>
          <w:szCs w:val="22"/>
          <w:lang w:val="es-ES"/>
        </w:rPr>
        <w:t xml:space="preserve">”. </w:t>
      </w:r>
    </w:p>
    <w:p w14:paraId="1CF4843F"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Éste reglamento ha introducido toda una nueva relación de actividades a realizar de cara a que las organizaciones y asociaciones de organizaciones de productores puedan alcanzar las finalidades perseguidas con su  reconocimiento, permitiendo, además, que estas entidades cuenten con un mayor número de herramientas que garanticen su eficacia y funcionalidad para los productores y contribuyan tanto a incrementar la cooperación sectorial como a una mejor consecución de los objetivos de la PAC previstos en el Tratado de la Unión Europea.</w:t>
      </w:r>
    </w:p>
    <w:p w14:paraId="7BAAD9E6"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Asimismo, y bajo el fin último de mejorar el poder de negociación de los productores, el Reglamento ómnibus establece una exención a lo dispuesto en el artículo 101 apartado 1 del TFUE para que las organizaciones y asociaciones de organizaciones de productores bajo ciertas condiciones puedan negociar contratos para el suministro de productos agrarios, en nombre de sus miembros por la totalidad o parte de la producción de sus miembros. Hasta entonces, sólo los sectores lácteo, vacuno de carne, aceite de oliva y cultivos herbáceos contaban con esta posibilidad.</w:t>
      </w:r>
    </w:p>
    <w:p w14:paraId="28298EB6" w14:textId="77777777" w:rsidR="00D96767" w:rsidRPr="00D96767" w:rsidRDefault="00D96767" w:rsidP="00D96767">
      <w:pPr>
        <w:spacing w:after="240" w:line="276" w:lineRule="auto"/>
        <w:jc w:val="both"/>
        <w:rPr>
          <w:rFonts w:asciiTheme="majorHAnsi" w:hAnsiTheme="majorHAnsi" w:cstheme="majorHAnsi"/>
          <w:sz w:val="24"/>
          <w:szCs w:val="22"/>
          <w:highlight w:val="yellow"/>
          <w:lang w:val="es-ES"/>
        </w:rPr>
      </w:pPr>
      <w:r w:rsidRPr="00BA0837">
        <w:rPr>
          <w:rFonts w:asciiTheme="majorHAnsi" w:hAnsiTheme="majorHAnsi" w:cstheme="majorHAnsi"/>
          <w:sz w:val="24"/>
          <w:szCs w:val="22"/>
          <w:lang w:val="es-ES"/>
        </w:rPr>
        <w:t>Por otra parte, la OCMA recoge otra exención en materia de competencia para que las organizaciones y asociaciones de organizaciones de productores puedan llevar a cabo determinados acuerdos y prácticas concertadas siempre que respeten los objetivos de la PAC, no supongan la fijación de un precio idéntico y no comprometan la libre competencia. A este respecto, las organizaciones y sus asociaciones podrán consultar a la Comisión acerca de la compatibilidad de esos acuerdos con las normas de competencia y el mercado único.</w:t>
      </w:r>
      <w:r w:rsidRPr="00D96767">
        <w:rPr>
          <w:rFonts w:asciiTheme="majorHAnsi" w:hAnsiTheme="majorHAnsi" w:cstheme="majorHAnsi"/>
          <w:sz w:val="24"/>
          <w:szCs w:val="22"/>
          <w:highlight w:val="yellow"/>
          <w:lang w:val="es-ES"/>
        </w:rPr>
        <w:t xml:space="preserve"> </w:t>
      </w:r>
    </w:p>
    <w:p w14:paraId="5D54974F"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lastRenderedPageBreak/>
        <w:t>En España, en lo que se refiere a los sectores ganaderos, el primer sector en contar con normativa específica para el reconocimiento de las organizaciones y asociaciones de organizaciones de productores fue el sector lácteo, conforme al Real Decreto 95/2019, de 1 de marzo, por el que se establecen las condiciones de contratación en el sector lácteo y se regula el reconocimiento de las organizaciones de productores y de las organizaciones interprofesionales en el sector, y por el que se modifican varios reales decretos de aplicación al sector lácteo.</w:t>
      </w:r>
    </w:p>
    <w:p w14:paraId="67E33AD7" w14:textId="61128C77" w:rsidR="004C0B48" w:rsidRPr="00BA0837" w:rsidRDefault="004C0B48" w:rsidP="003E5FFF">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Po</w:t>
      </w:r>
      <w:r w:rsidR="003E5FFF" w:rsidRPr="00BA0837">
        <w:rPr>
          <w:rFonts w:asciiTheme="majorHAnsi" w:hAnsiTheme="majorHAnsi" w:cstheme="majorHAnsi"/>
          <w:sz w:val="24"/>
          <w:szCs w:val="22"/>
          <w:lang w:val="es-ES"/>
        </w:rPr>
        <w:t>steriormente, se desarrolló el R</w:t>
      </w:r>
      <w:r w:rsidRPr="00BA0837">
        <w:rPr>
          <w:rFonts w:asciiTheme="majorHAnsi" w:hAnsiTheme="majorHAnsi" w:cstheme="majorHAnsi"/>
          <w:sz w:val="24"/>
          <w:szCs w:val="22"/>
          <w:lang w:val="es-ES"/>
        </w:rPr>
        <w:t xml:space="preserve">eal </w:t>
      </w:r>
      <w:r w:rsidR="003E5FFF" w:rsidRPr="00BA0837">
        <w:rPr>
          <w:rFonts w:asciiTheme="majorHAnsi" w:hAnsiTheme="majorHAnsi" w:cstheme="majorHAnsi"/>
          <w:sz w:val="24"/>
          <w:szCs w:val="22"/>
          <w:lang w:val="es-ES"/>
        </w:rPr>
        <w:t>D</w:t>
      </w:r>
      <w:r w:rsidRPr="00BA0837">
        <w:rPr>
          <w:rFonts w:asciiTheme="majorHAnsi" w:hAnsiTheme="majorHAnsi" w:cstheme="majorHAnsi"/>
          <w:sz w:val="24"/>
          <w:szCs w:val="22"/>
          <w:lang w:val="es-ES"/>
        </w:rPr>
        <w:t xml:space="preserve">ecreto 541/2016, de 25 de noviembre, por el que se regula el reconocimiento de las organizaciones de productores y sus asociaciones en el sector </w:t>
      </w:r>
      <w:proofErr w:type="spellStart"/>
      <w:r w:rsidRPr="00BA0837">
        <w:rPr>
          <w:rFonts w:asciiTheme="majorHAnsi" w:hAnsiTheme="majorHAnsi" w:cstheme="majorHAnsi"/>
          <w:sz w:val="24"/>
          <w:szCs w:val="22"/>
          <w:lang w:val="es-ES"/>
        </w:rPr>
        <w:t>cunícola</w:t>
      </w:r>
      <w:proofErr w:type="spellEnd"/>
      <w:r w:rsidRPr="00BA0837">
        <w:rPr>
          <w:rFonts w:asciiTheme="majorHAnsi" w:hAnsiTheme="majorHAnsi" w:cstheme="majorHAnsi"/>
          <w:sz w:val="24"/>
          <w:szCs w:val="22"/>
          <w:lang w:val="es-ES"/>
        </w:rPr>
        <w:t>.</w:t>
      </w:r>
    </w:p>
    <w:p w14:paraId="03F91DF6" w14:textId="7BCA5C2D"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En cuanto a los sectores agrícolas, el primer sector en contar con normativa específica para el reconocimiento de las organizaciones y asociaciones de organizaciones de productores fue el sector de frutas y hortalizas con normativa desde el año 1996 en el que se estableció la organización de mercados para el este sector. La normativa actualmente en vigor es el Real Decreto 532/2017, de 26 de mayo, por el que se regulan el reconocimiento y el funcionamiento de las organizaciones de productores del sector de frutas y hortalizas. </w:t>
      </w:r>
    </w:p>
    <w:p w14:paraId="01DA58CD" w14:textId="77777777" w:rsidR="00D9676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Además, en el sector del tabaco crudo el Real Decreto 969/2014, de 21 de noviembre, regula el reconocimiento de las organizaciones de productores, la extensión de las normas, las relaciones contractuales y la comunicación de información este sector y en el sector del lúpulo las organizaciones de productores de preceptivo reconocimiento por parte de los Estados miembros conforme a la OCMA han sido reguladas por la Unión Europea mediante el Reglamento (CE) n.º 1299/2007 de la Comisión, de 6 de noviembre de 2007, relativo al reconocimiento de las agrupaciones de productores en el sector del lúpulo.</w:t>
      </w:r>
    </w:p>
    <w:p w14:paraId="3D11DE00" w14:textId="5712F35F" w:rsidR="00D96767" w:rsidRPr="00BC6FB9"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LAS ORGANIZACIONES DE PRODUCTORES DE FRUTAS Y HORTALIZAS</w:t>
      </w:r>
      <w:r>
        <w:rPr>
          <w:rFonts w:asciiTheme="majorHAnsi" w:hAnsiTheme="majorHAnsi" w:cstheme="majorHAnsi"/>
          <w:sz w:val="24"/>
          <w:szCs w:val="22"/>
          <w:lang w:val="es-ES"/>
        </w:rPr>
        <w:t xml:space="preserve"> </w:t>
      </w:r>
    </w:p>
    <w:p w14:paraId="42B8E578" w14:textId="436CB50B" w:rsidR="00130A92" w:rsidRPr="002B5AB4" w:rsidRDefault="00130A92" w:rsidP="00130A92">
      <w:pPr>
        <w:spacing w:after="225" w:line="276" w:lineRule="auto"/>
        <w:jc w:val="both"/>
        <w:rPr>
          <w:rFonts w:asciiTheme="majorHAnsi" w:hAnsiTheme="majorHAnsi" w:cstheme="majorHAnsi"/>
          <w:sz w:val="24"/>
          <w:szCs w:val="22"/>
          <w:lang w:val="es-ES"/>
        </w:rPr>
      </w:pPr>
      <w:r w:rsidRPr="00130A92">
        <w:rPr>
          <w:rFonts w:asciiTheme="majorHAnsi" w:hAnsiTheme="majorHAnsi" w:cstheme="majorHAnsi"/>
          <w:sz w:val="24"/>
          <w:szCs w:val="22"/>
          <w:lang w:val="es-ES"/>
        </w:rPr>
        <w:t>La OCM fomenta la constitución de organizaciones de productores y sus asociaciones con el fin de estimular el trabajo conjunto y mejorar la posición en la cadena de los agricultores.</w:t>
      </w:r>
    </w:p>
    <w:p w14:paraId="06FED700" w14:textId="2A01B153"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 xml:space="preserve">En el sector de frutas y hortalizas los agricultores se integran en organizaciones de productores y a su vez éstas en asociaciones de organizaciones de productores. Las actividades principales de las organizaciones de productores de frutas y hortalizas están relacionadas con la concentración de la oferta y la puesta en el mercado de sus productos, de modo que se refuerce la capacidad de negociación del sector y se logre </w:t>
      </w:r>
      <w:r w:rsidRPr="00203B08">
        <w:rPr>
          <w:rFonts w:asciiTheme="majorHAnsi" w:hAnsiTheme="majorHAnsi" w:cstheme="majorHAnsi"/>
          <w:sz w:val="24"/>
          <w:szCs w:val="22"/>
          <w:lang w:val="es-ES"/>
        </w:rPr>
        <w:lastRenderedPageBreak/>
        <w:t>una distribución más justa de los beneficios resultantes a lo la</w:t>
      </w:r>
      <w:r w:rsidR="00B80F00">
        <w:rPr>
          <w:rFonts w:asciiTheme="majorHAnsi" w:hAnsiTheme="majorHAnsi" w:cstheme="majorHAnsi"/>
          <w:sz w:val="24"/>
          <w:szCs w:val="22"/>
          <w:lang w:val="es-ES"/>
        </w:rPr>
        <w:t>rgo de la cadena de suministro.</w:t>
      </w:r>
    </w:p>
    <w:p w14:paraId="5E92BF4F" w14:textId="57613B4A"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Las organizaciones de productores y sus asociaciones son el elemento central del régimen de ayudas y deben perseguir como mínimo u</w:t>
      </w:r>
      <w:r w:rsidR="00B80F00">
        <w:rPr>
          <w:rFonts w:asciiTheme="majorHAnsi" w:hAnsiTheme="majorHAnsi" w:cstheme="majorHAnsi"/>
          <w:sz w:val="24"/>
          <w:szCs w:val="22"/>
          <w:lang w:val="es-ES"/>
        </w:rPr>
        <w:t>no de los objetivos siguientes:</w:t>
      </w:r>
    </w:p>
    <w:p w14:paraId="3EC218A2" w14:textId="77777777"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1.- Garantizar que la producción se planifique y se ajuste con arreglo a la demanda, sobre todo en lo referente a la calidad y a la cantidad;</w:t>
      </w:r>
    </w:p>
    <w:p w14:paraId="3737DE03" w14:textId="77777777"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2.- Concentrar la oferta y la comercialización de los productos de sus miembros;</w:t>
      </w:r>
    </w:p>
    <w:p w14:paraId="754CE6CA" w14:textId="77777777"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3.- Optimizar los costes de producción y los beneficios de las inversiones realizadas en respuesta a normas relativas al medio ambiente y al bienestar de los animales, y estabilizar los precios de producción;</w:t>
      </w:r>
    </w:p>
    <w:p w14:paraId="5B9BFD74" w14:textId="5AB26EE7" w:rsidR="00203B08" w:rsidRP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Los estatutos de una organización de productores del sector de las frutas y hortalizas exigirán a sus miembros productores que comercialicen toda su producción a través de la organización de productores, pertenezcan a una sola organización de productores con respecto a un producto determinado y apliquen  todas las normas que se adopten por la OP en materia de producción, comercialización y protección del medio ambiente.</w:t>
      </w:r>
    </w:p>
    <w:p w14:paraId="5D5EB5C0" w14:textId="4CFFA1FC" w:rsidR="00203B08" w:rsidRDefault="00203B08" w:rsidP="00D4710E">
      <w:pPr>
        <w:spacing w:after="240" w:line="276" w:lineRule="auto"/>
        <w:jc w:val="both"/>
        <w:rPr>
          <w:rFonts w:asciiTheme="majorHAnsi" w:hAnsiTheme="majorHAnsi" w:cstheme="majorHAnsi"/>
          <w:sz w:val="24"/>
          <w:szCs w:val="22"/>
          <w:lang w:val="es-ES"/>
        </w:rPr>
      </w:pPr>
      <w:r w:rsidRPr="00203B08">
        <w:rPr>
          <w:rFonts w:asciiTheme="majorHAnsi" w:hAnsiTheme="majorHAnsi" w:cstheme="majorHAnsi"/>
          <w:sz w:val="24"/>
          <w:szCs w:val="22"/>
          <w:lang w:val="es-ES"/>
        </w:rPr>
        <w:t>Aproximadamente el 50% de la producción de frutas y hortalizas en España está organizada en alguna de las 557 organización de productores reconocidas, siendo 8 el número de asociaciones de organizaci</w:t>
      </w:r>
      <w:r w:rsidR="00BC48A3">
        <w:rPr>
          <w:rFonts w:asciiTheme="majorHAnsi" w:hAnsiTheme="majorHAnsi" w:cstheme="majorHAnsi"/>
          <w:sz w:val="24"/>
          <w:szCs w:val="22"/>
          <w:lang w:val="es-ES"/>
        </w:rPr>
        <w:t>ones de productores existentes.</w:t>
      </w:r>
    </w:p>
    <w:p w14:paraId="60B93D31" w14:textId="0119AF2C" w:rsidR="00D96767" w:rsidRPr="00BA0837" w:rsidRDefault="00D96767" w:rsidP="00D4710E">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ORGANIZACIONES DE PRODUCTORES DE LECHE</w:t>
      </w:r>
    </w:p>
    <w:p w14:paraId="33FCB447" w14:textId="2F754A11"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En el sector lácteo, las organizaciones de productores fueron una de las herramientas creadas por la Comisión en el llamado “paquete lácteo”, conjunto de medidas creadas en el año 2012, encaminadas   a mejorar la transparencia y el equilibrio de la cadena en el sector. </w:t>
      </w:r>
    </w:p>
    <w:p w14:paraId="009CE9CE"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Esta medida se ha implementado de manera desigual en la UE. En la actualidad hay un total de 342 de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 xml:space="preserve"> reconocidas, de las que  únicamente 12 son de ganado ovino y 2 de caprino, el resto son de ganado bovino. Los países con más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 xml:space="preserve"> reconocidas son Alemania y Francia</w:t>
      </w:r>
    </w:p>
    <w:p w14:paraId="1EC2276E"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En España hay 8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 xml:space="preserve"> reconocidas para el vacuno de leche que concentran aproximadamente el 50% de los productores y de la leche producida </w:t>
      </w:r>
    </w:p>
    <w:p w14:paraId="196F6528"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España ha sido de los pocos países de la UE que ha extendido la aplicación de las medidas del „Paquete Lácteo” al ovino y caprino de leche. En estos momentos, hay tres OP </w:t>
      </w:r>
      <w:r w:rsidRPr="00BA0837">
        <w:rPr>
          <w:rFonts w:asciiTheme="majorHAnsi" w:hAnsiTheme="majorHAnsi" w:cstheme="majorHAnsi"/>
          <w:sz w:val="24"/>
          <w:szCs w:val="22"/>
          <w:lang w:val="es-ES"/>
        </w:rPr>
        <w:lastRenderedPageBreak/>
        <w:t>reconocidas para el ovino de leche. Todas  ellas se encuentran en la comunidad autónoma de Castilla y León y agrupan a más  1.000 productores de ovino de leche y aproximadamente supone el  25% de los ganaderos y de las entregas de leche a nivel nacional y un 45 % de los productores y entregas declaradas en esa comunidad autónoma. No hay ningún OP reconocida en el caprino de leche.</w:t>
      </w:r>
    </w:p>
    <w:p w14:paraId="6188655E" w14:textId="77777777" w:rsidR="00D96767" w:rsidRPr="00BA0837" w:rsidRDefault="00D96767"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Una de las principales disposiciones otorgadas reglamentariamente a estas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 xml:space="preserve"> es la posibilidad de negociar conjuntamente las condiciones de los contratos, incluido el precio, dentro de unos límites establecidos, en relación a la producción nacional (33% de la producción) y comunitaria (3,5% de la producción)</w:t>
      </w:r>
    </w:p>
    <w:p w14:paraId="0A09D8F5" w14:textId="77777777" w:rsidR="00FB6A35" w:rsidRPr="00BA0837" w:rsidRDefault="00FB6A35" w:rsidP="00FB6A35">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ORGANIZACIONES DE PRODUCTORES EN EL SECTOR CUNÍCOLA</w:t>
      </w:r>
    </w:p>
    <w:p w14:paraId="41497B3F" w14:textId="77777777" w:rsidR="003E5FFF" w:rsidRPr="00BA0837" w:rsidRDefault="004C0B48" w:rsidP="003E5FFF">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Las debilidades específicas de este sector, que sufría los efectos de una importante crisis estructural en los últimos años</w:t>
      </w:r>
      <w:r w:rsidR="003E5FFF" w:rsidRPr="00BA0837">
        <w:rPr>
          <w:rFonts w:asciiTheme="majorHAnsi" w:hAnsiTheme="majorHAnsi" w:cstheme="majorHAnsi"/>
          <w:sz w:val="24"/>
          <w:szCs w:val="22"/>
          <w:lang w:val="es-ES"/>
        </w:rPr>
        <w:t>,</w:t>
      </w:r>
      <w:r w:rsidRPr="00BA0837">
        <w:rPr>
          <w:rFonts w:asciiTheme="majorHAnsi" w:hAnsiTheme="majorHAnsi" w:cstheme="majorHAnsi"/>
          <w:sz w:val="24"/>
          <w:szCs w:val="22"/>
          <w:lang w:val="es-ES"/>
        </w:rPr>
        <w:t xml:space="preserve"> consecuencia de sus dificultades de orientación al mercado, agravados por su escasa vertebración, impulso la creación de las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w:t>
      </w:r>
    </w:p>
    <w:p w14:paraId="25655006" w14:textId="7913B9F0" w:rsidR="004C0B48" w:rsidRPr="00BA0837" w:rsidRDefault="003E5FFF" w:rsidP="003E5FFF">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En este caso el reconocimiento de </w:t>
      </w:r>
      <w:proofErr w:type="spellStart"/>
      <w:r w:rsidRPr="00BA0837">
        <w:rPr>
          <w:rFonts w:asciiTheme="majorHAnsi" w:hAnsiTheme="majorHAnsi" w:cstheme="majorHAnsi"/>
          <w:sz w:val="24"/>
          <w:szCs w:val="22"/>
          <w:lang w:val="es-ES"/>
        </w:rPr>
        <w:t>OPs</w:t>
      </w:r>
      <w:proofErr w:type="spellEnd"/>
      <w:r w:rsidRPr="00BA0837">
        <w:rPr>
          <w:rFonts w:asciiTheme="majorHAnsi" w:hAnsiTheme="majorHAnsi" w:cstheme="majorHAnsi"/>
          <w:sz w:val="24"/>
          <w:szCs w:val="22"/>
          <w:lang w:val="es-ES"/>
        </w:rPr>
        <w:t xml:space="preserve"> se consideró </w:t>
      </w:r>
      <w:r w:rsidR="004C0B48" w:rsidRPr="00BA0837">
        <w:rPr>
          <w:rFonts w:asciiTheme="majorHAnsi" w:hAnsiTheme="majorHAnsi" w:cstheme="majorHAnsi"/>
          <w:sz w:val="24"/>
          <w:szCs w:val="22"/>
          <w:lang w:val="es-ES"/>
        </w:rPr>
        <w:t xml:space="preserve">el instrumento </w:t>
      </w:r>
      <w:r w:rsidRPr="00BA0837">
        <w:rPr>
          <w:rFonts w:asciiTheme="majorHAnsi" w:hAnsiTheme="majorHAnsi" w:cstheme="majorHAnsi"/>
          <w:sz w:val="24"/>
          <w:szCs w:val="22"/>
          <w:lang w:val="es-ES"/>
        </w:rPr>
        <w:t xml:space="preserve">más </w:t>
      </w:r>
      <w:r w:rsidR="004C0B48" w:rsidRPr="00BA0837">
        <w:rPr>
          <w:rFonts w:asciiTheme="majorHAnsi" w:hAnsiTheme="majorHAnsi" w:cstheme="majorHAnsi"/>
          <w:sz w:val="24"/>
          <w:szCs w:val="22"/>
          <w:lang w:val="es-ES"/>
        </w:rPr>
        <w:t xml:space="preserve">adecuado para mejorar la posición de los productores en la cadena de valor, así como facilitar la posibilidad de establecer acciones conjuntas entre productores que </w:t>
      </w:r>
      <w:r w:rsidRPr="00BA0837">
        <w:rPr>
          <w:rFonts w:asciiTheme="majorHAnsi" w:hAnsiTheme="majorHAnsi" w:cstheme="majorHAnsi"/>
          <w:sz w:val="24"/>
          <w:szCs w:val="22"/>
          <w:lang w:val="es-ES"/>
        </w:rPr>
        <w:t xml:space="preserve">permitieran </w:t>
      </w:r>
      <w:r w:rsidR="004C0B48" w:rsidRPr="00BA0837">
        <w:rPr>
          <w:rFonts w:asciiTheme="majorHAnsi" w:hAnsiTheme="majorHAnsi" w:cstheme="majorHAnsi"/>
          <w:sz w:val="24"/>
          <w:szCs w:val="22"/>
          <w:lang w:val="es-ES"/>
        </w:rPr>
        <w:t>abord</w:t>
      </w:r>
      <w:r w:rsidRPr="00BA0837">
        <w:rPr>
          <w:rFonts w:asciiTheme="majorHAnsi" w:hAnsiTheme="majorHAnsi" w:cstheme="majorHAnsi"/>
          <w:sz w:val="24"/>
          <w:szCs w:val="22"/>
          <w:lang w:val="es-ES"/>
        </w:rPr>
        <w:t>ar</w:t>
      </w:r>
      <w:r w:rsidR="004C0B48" w:rsidRPr="00BA0837">
        <w:rPr>
          <w:rFonts w:asciiTheme="majorHAnsi" w:hAnsiTheme="majorHAnsi" w:cstheme="majorHAnsi"/>
          <w:sz w:val="24"/>
          <w:szCs w:val="22"/>
          <w:lang w:val="es-ES"/>
        </w:rPr>
        <w:t xml:space="preserve"> la problemática derivada de los elevados costes de producción, el descenso del consumo de carne de conejo, y el desafío que supone el acceso a los mercados exteriores.</w:t>
      </w:r>
    </w:p>
    <w:p w14:paraId="48A5A153" w14:textId="258E6B3E" w:rsidR="00D96767" w:rsidRPr="00BA0837" w:rsidRDefault="004C0B48"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A</w:t>
      </w:r>
      <w:r w:rsidR="00D96767" w:rsidRPr="00BA0837">
        <w:rPr>
          <w:rFonts w:asciiTheme="majorHAnsi" w:hAnsiTheme="majorHAnsi" w:cstheme="majorHAnsi"/>
          <w:sz w:val="24"/>
          <w:szCs w:val="22"/>
          <w:lang w:val="es-ES"/>
        </w:rPr>
        <w:t xml:space="preserve"> pesar de contar con un marco legal muy reciente, actualmente, existen 3 OP reconocidas en el sector: Hispania </w:t>
      </w:r>
      <w:proofErr w:type="spellStart"/>
      <w:r w:rsidR="00D96767" w:rsidRPr="00BA0837">
        <w:rPr>
          <w:rFonts w:asciiTheme="majorHAnsi" w:hAnsiTheme="majorHAnsi" w:cstheme="majorHAnsi"/>
          <w:sz w:val="24"/>
          <w:szCs w:val="22"/>
          <w:lang w:val="es-ES"/>
        </w:rPr>
        <w:t>Naturalis</w:t>
      </w:r>
      <w:proofErr w:type="spellEnd"/>
      <w:r w:rsidR="00D96767" w:rsidRPr="00BA0837">
        <w:rPr>
          <w:rFonts w:asciiTheme="majorHAnsi" w:hAnsiTheme="majorHAnsi" w:cstheme="majorHAnsi"/>
          <w:sz w:val="24"/>
          <w:szCs w:val="22"/>
          <w:lang w:val="es-ES"/>
        </w:rPr>
        <w:t xml:space="preserve"> y </w:t>
      </w:r>
      <w:proofErr w:type="spellStart"/>
      <w:r w:rsidR="00D96767" w:rsidRPr="00BA0837">
        <w:rPr>
          <w:rFonts w:asciiTheme="majorHAnsi" w:hAnsiTheme="majorHAnsi" w:cstheme="majorHAnsi"/>
          <w:sz w:val="24"/>
          <w:szCs w:val="22"/>
          <w:lang w:val="es-ES"/>
        </w:rPr>
        <w:t>Cunitres</w:t>
      </w:r>
      <w:proofErr w:type="spellEnd"/>
      <w:r w:rsidR="00D96767" w:rsidRPr="00BA0837">
        <w:rPr>
          <w:rFonts w:asciiTheme="majorHAnsi" w:hAnsiTheme="majorHAnsi" w:cstheme="majorHAnsi"/>
          <w:sz w:val="24"/>
          <w:szCs w:val="22"/>
          <w:lang w:val="es-ES"/>
        </w:rPr>
        <w:t xml:space="preserve">, ambas en Aragón y </w:t>
      </w:r>
      <w:proofErr w:type="spellStart"/>
      <w:r w:rsidR="00D96767" w:rsidRPr="00BA0837">
        <w:rPr>
          <w:rFonts w:asciiTheme="majorHAnsi" w:hAnsiTheme="majorHAnsi" w:cstheme="majorHAnsi"/>
          <w:sz w:val="24"/>
          <w:szCs w:val="22"/>
          <w:lang w:val="es-ES"/>
        </w:rPr>
        <w:t>Mesenor</w:t>
      </w:r>
      <w:proofErr w:type="spellEnd"/>
      <w:r w:rsidR="00D96767" w:rsidRPr="00BA0837">
        <w:rPr>
          <w:rFonts w:asciiTheme="majorHAnsi" w:hAnsiTheme="majorHAnsi" w:cstheme="majorHAnsi"/>
          <w:sz w:val="24"/>
          <w:szCs w:val="22"/>
          <w:lang w:val="es-ES"/>
        </w:rPr>
        <w:t xml:space="preserve"> </w:t>
      </w:r>
      <w:proofErr w:type="spellStart"/>
      <w:r w:rsidR="00D96767" w:rsidRPr="00BA0837">
        <w:rPr>
          <w:rFonts w:asciiTheme="majorHAnsi" w:hAnsiTheme="majorHAnsi" w:cstheme="majorHAnsi"/>
          <w:sz w:val="24"/>
          <w:szCs w:val="22"/>
          <w:lang w:val="es-ES"/>
        </w:rPr>
        <w:t>S.Coop</w:t>
      </w:r>
      <w:proofErr w:type="spellEnd"/>
      <w:r w:rsidR="00D96767" w:rsidRPr="00BA0837">
        <w:rPr>
          <w:rFonts w:asciiTheme="majorHAnsi" w:hAnsiTheme="majorHAnsi" w:cstheme="majorHAnsi"/>
          <w:sz w:val="24"/>
          <w:szCs w:val="22"/>
          <w:lang w:val="es-ES"/>
        </w:rPr>
        <w:t xml:space="preserve">., en C. León, con un total de 92 socios entre las tres. El conjunto de  producción comercializada por las tres entidades alcanza un  total de 3,88 millones de cabezas, lo que supone en torno a un 8,5 % de la producción nacional.  </w:t>
      </w:r>
    </w:p>
    <w:p w14:paraId="152ACAF7" w14:textId="1D75533F" w:rsidR="00D96767" w:rsidRDefault="003E5FFF" w:rsidP="00D96767">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La normativa</w:t>
      </w:r>
      <w:r w:rsidR="00D96767" w:rsidRPr="00BA0837">
        <w:rPr>
          <w:rFonts w:asciiTheme="majorHAnsi" w:hAnsiTheme="majorHAnsi" w:cstheme="majorHAnsi"/>
          <w:sz w:val="24"/>
          <w:szCs w:val="22"/>
          <w:lang w:val="es-ES"/>
        </w:rPr>
        <w:t xml:space="preserve"> establece la </w:t>
      </w:r>
      <w:r w:rsidRPr="00BA0837">
        <w:rPr>
          <w:rFonts w:asciiTheme="majorHAnsi" w:hAnsiTheme="majorHAnsi" w:cstheme="majorHAnsi"/>
          <w:sz w:val="24"/>
          <w:szCs w:val="22"/>
          <w:lang w:val="es-ES"/>
        </w:rPr>
        <w:t xml:space="preserve">obligación </w:t>
      </w:r>
      <w:r w:rsidR="00D96767" w:rsidRPr="00BA0837">
        <w:rPr>
          <w:rFonts w:asciiTheme="majorHAnsi" w:hAnsiTheme="majorHAnsi" w:cstheme="majorHAnsi"/>
          <w:sz w:val="24"/>
          <w:szCs w:val="22"/>
          <w:lang w:val="es-ES"/>
        </w:rPr>
        <w:t>de comercializar en común una fracción creciente de la producción de los socios, en un plazo de tres años</w:t>
      </w:r>
      <w:r w:rsidR="00BC04DA">
        <w:rPr>
          <w:rFonts w:asciiTheme="majorHAnsi" w:hAnsiTheme="majorHAnsi" w:cstheme="majorHAnsi"/>
          <w:sz w:val="24"/>
          <w:szCs w:val="22"/>
          <w:lang w:val="es-ES"/>
        </w:rPr>
        <w:t>.</w:t>
      </w:r>
    </w:p>
    <w:p w14:paraId="49A745BB" w14:textId="77777777" w:rsidR="00BC04DA" w:rsidRPr="0008602A" w:rsidRDefault="00BC04DA" w:rsidP="00BC04DA">
      <w:pPr>
        <w:spacing w:after="240" w:line="276" w:lineRule="auto"/>
        <w:jc w:val="both"/>
        <w:rPr>
          <w:rFonts w:asciiTheme="majorHAnsi" w:hAnsiTheme="majorHAnsi" w:cstheme="majorHAnsi"/>
          <w:sz w:val="24"/>
          <w:szCs w:val="22"/>
          <w:highlight w:val="green"/>
          <w:u w:val="single"/>
          <w:lang w:val="es-ES"/>
        </w:rPr>
      </w:pPr>
      <w:r w:rsidRPr="0008602A">
        <w:rPr>
          <w:rFonts w:asciiTheme="majorHAnsi" w:hAnsiTheme="majorHAnsi" w:cstheme="majorHAnsi"/>
          <w:sz w:val="24"/>
          <w:szCs w:val="22"/>
          <w:highlight w:val="green"/>
          <w:u w:val="single"/>
          <w:lang w:val="es-ES"/>
        </w:rPr>
        <w:t>Sectores industriales: lúpulo y tabaco crudo</w:t>
      </w:r>
    </w:p>
    <w:p w14:paraId="312AE562" w14:textId="77777777" w:rsidR="00BC04DA" w:rsidRPr="0008602A" w:rsidRDefault="00BC04DA" w:rsidP="00BC04DA">
      <w:pPr>
        <w:spacing w:after="240" w:line="276" w:lineRule="auto"/>
        <w:jc w:val="both"/>
        <w:rPr>
          <w:rFonts w:asciiTheme="majorHAnsi" w:hAnsiTheme="majorHAnsi" w:cstheme="majorHAnsi"/>
          <w:sz w:val="24"/>
          <w:szCs w:val="22"/>
          <w:highlight w:val="green"/>
          <w:lang w:val="es-ES"/>
        </w:rPr>
      </w:pPr>
      <w:r w:rsidRPr="0008602A">
        <w:rPr>
          <w:rFonts w:asciiTheme="majorHAnsi" w:hAnsiTheme="majorHAnsi" w:cstheme="majorHAnsi"/>
          <w:sz w:val="24"/>
          <w:szCs w:val="22"/>
          <w:highlight w:val="green"/>
          <w:lang w:val="es-ES"/>
        </w:rPr>
        <w:t>En estos dos cultivos, cuya producción primaria requiere en su totalidad de un procesamiento industrial tras su cosecha, llama la atención la alta ordenación horizontal, que se constituye como punto fuerte de ambos sectores, pues facilita su salida comercial.</w:t>
      </w:r>
    </w:p>
    <w:p w14:paraId="55AEC142" w14:textId="77777777" w:rsidR="00BC04DA" w:rsidRPr="0008602A" w:rsidRDefault="00BC04DA" w:rsidP="00BC04DA">
      <w:pPr>
        <w:spacing w:after="240" w:line="276" w:lineRule="auto"/>
        <w:jc w:val="both"/>
        <w:rPr>
          <w:rFonts w:asciiTheme="majorHAnsi" w:hAnsiTheme="majorHAnsi" w:cstheme="majorHAnsi"/>
          <w:sz w:val="24"/>
          <w:szCs w:val="22"/>
          <w:highlight w:val="green"/>
          <w:lang w:val="es-ES"/>
        </w:rPr>
      </w:pPr>
      <w:r w:rsidRPr="0008602A">
        <w:rPr>
          <w:rFonts w:asciiTheme="majorHAnsi" w:hAnsiTheme="majorHAnsi" w:cstheme="majorHAnsi"/>
          <w:sz w:val="24"/>
          <w:szCs w:val="22"/>
          <w:highlight w:val="green"/>
          <w:lang w:val="es-ES"/>
        </w:rPr>
        <w:t xml:space="preserve">En el caso del lúpulo, alrededor del 95% de su producción y cultivadores se integran en una única agrupación de productores reconocida (en base al Reglamento 1299/2007 de la Comisión) que ha de establecer normas comunes sobre producción y puesta en el </w:t>
      </w:r>
      <w:r w:rsidRPr="0008602A">
        <w:rPr>
          <w:rFonts w:asciiTheme="majorHAnsi" w:hAnsiTheme="majorHAnsi" w:cstheme="majorHAnsi"/>
          <w:sz w:val="24"/>
          <w:szCs w:val="22"/>
          <w:highlight w:val="green"/>
          <w:lang w:val="es-ES"/>
        </w:rPr>
        <w:lastRenderedPageBreak/>
        <w:t>mercado. . Su nombre es “Lúpulos de León Agrupaciones de Productores de lúpulo nº1- SAT nº 6594”, tiene 230 miembros y agrupa 538 hectáreas que notificaron en 2018.</w:t>
      </w:r>
    </w:p>
    <w:p w14:paraId="39074F2F" w14:textId="1E0100A6" w:rsidR="00BC04DA" w:rsidRPr="00BC04DA" w:rsidRDefault="00BC04DA" w:rsidP="00D96767">
      <w:pPr>
        <w:spacing w:after="240" w:line="276" w:lineRule="auto"/>
        <w:jc w:val="both"/>
        <w:rPr>
          <w:rFonts w:asciiTheme="majorHAnsi" w:hAnsiTheme="majorHAnsi" w:cstheme="majorHAnsi"/>
          <w:sz w:val="24"/>
        </w:rPr>
      </w:pPr>
      <w:r w:rsidRPr="0008602A">
        <w:rPr>
          <w:rFonts w:asciiTheme="majorHAnsi" w:hAnsiTheme="majorHAnsi" w:cstheme="majorHAnsi"/>
          <w:sz w:val="24"/>
          <w:szCs w:val="22"/>
          <w:highlight w:val="green"/>
          <w:lang w:val="es-ES"/>
        </w:rPr>
        <w:t xml:space="preserve">Respecto al tabaco en rama, cerca del 50% de la producción y del 60% de los cultivadores se integran en 3 organizaciones de productores reconocidas (en base al Reglamento 1308/2013 del Parlamento Europeo y del Consejo). Las organizaciones de productores en este sector, deben tener como finalidades, al menos, </w:t>
      </w:r>
      <w:r w:rsidRPr="0008602A">
        <w:rPr>
          <w:rFonts w:asciiTheme="majorHAnsi" w:hAnsiTheme="majorHAnsi" w:cstheme="majorHAnsi"/>
          <w:sz w:val="24"/>
          <w:highlight w:val="green"/>
        </w:rPr>
        <w:t>concentrar la oferta y la comercialización de los productos de sus miembros y garantizar que la producción se planifique y se ajuste con arreglo a la demanda, sobre todo en lo referente a la calidad y a la cantidad incluyendo, en particular, prácticas sostenibles de cultivo y curado.</w:t>
      </w:r>
    </w:p>
    <w:p w14:paraId="198E3871" w14:textId="7EEA6EF2" w:rsidR="00730EE9" w:rsidRPr="00BA0837" w:rsidRDefault="00591B3C" w:rsidP="00730EE9">
      <w:pPr>
        <w:spacing w:after="240" w:line="276" w:lineRule="auto"/>
        <w:jc w:val="both"/>
        <w:rPr>
          <w:rFonts w:asciiTheme="majorHAnsi" w:hAnsiTheme="majorHAnsi" w:cstheme="majorHAnsi"/>
          <w:b/>
          <w:sz w:val="24"/>
          <w:szCs w:val="22"/>
          <w:lang w:val="es-ES"/>
        </w:rPr>
      </w:pPr>
      <w:r w:rsidRPr="00BA0837">
        <w:rPr>
          <w:rFonts w:asciiTheme="majorHAnsi" w:hAnsiTheme="majorHAnsi" w:cstheme="majorHAnsi"/>
          <w:b/>
          <w:sz w:val="24"/>
          <w:szCs w:val="22"/>
          <w:lang w:val="es-ES"/>
        </w:rPr>
        <w:t>I</w:t>
      </w:r>
      <w:r w:rsidR="00730EE9" w:rsidRPr="00BA0837">
        <w:rPr>
          <w:rFonts w:asciiTheme="majorHAnsi" w:hAnsiTheme="majorHAnsi" w:cstheme="majorHAnsi"/>
          <w:b/>
          <w:sz w:val="24"/>
          <w:szCs w:val="22"/>
          <w:lang w:val="es-ES"/>
        </w:rPr>
        <w:t xml:space="preserve">ntegración vertical: </w:t>
      </w:r>
    </w:p>
    <w:p w14:paraId="5081C718" w14:textId="77777777" w:rsidR="00730EE9" w:rsidRPr="00BA0837" w:rsidRDefault="00730EE9" w:rsidP="00730EE9">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Esta modalidad de producción se basa en relaciones contractuales entre eslabones de la cadena de producción, y es especialmente destacable en la producción ganadera. </w:t>
      </w:r>
    </w:p>
    <w:p w14:paraId="57C1FB32" w14:textId="0A21F9BB" w:rsidR="00730EE9" w:rsidRPr="00BA0837" w:rsidRDefault="00730EE9" w:rsidP="00730EE9">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La ganadería en régimen de integración vertical es un modelo de producción sustentado en un contrato entre dos partes, en la que una parte, el integrador, se obliga a aportar, generalmente, los animales, los productos para la alimentación animal, los productos sanitarios y la asistencia veterinaria, mientras la otra parte, el ganadero integrado, aporta las instalaciones, la mano de obra y los cuidados de los animales, tal y como se define en el artículo 3 de la ley 8/2003, de sanidad animal. Esta modalidad de producción se encuentra particularmente extendida en los sectores ganaderos más intensivos, como en el sector porcino, donde alcanza hasta un 68% de implantación sobre el total de la producción y en avicultura de carne, donde esta implantación se eleva por encima del 90%. </w:t>
      </w:r>
    </w:p>
    <w:p w14:paraId="59A7FCD4" w14:textId="54762917" w:rsidR="00730EE9" w:rsidRPr="00BA0837" w:rsidRDefault="00730EE9" w:rsidP="00730EE9">
      <w:pPr>
        <w:spacing w:after="240" w:line="276" w:lineRule="auto"/>
        <w:jc w:val="both"/>
        <w:rPr>
          <w:rFonts w:asciiTheme="majorHAnsi" w:hAnsiTheme="majorHAnsi" w:cstheme="majorHAnsi"/>
          <w:sz w:val="24"/>
          <w:szCs w:val="22"/>
          <w:lang w:val="es-ES"/>
        </w:rPr>
      </w:pPr>
      <w:r w:rsidRPr="00BA0837">
        <w:rPr>
          <w:rFonts w:asciiTheme="majorHAnsi" w:hAnsiTheme="majorHAnsi" w:cstheme="majorHAnsi"/>
          <w:sz w:val="24"/>
          <w:szCs w:val="22"/>
          <w:lang w:val="es-ES"/>
        </w:rPr>
        <w:t xml:space="preserve">El modelo de integración ofrece algunas ventajas derivadas de la eficiencia productiva que alcanza, por la mayor capacidad de la empresa integradora de optimizar, a través de su economía de escala, algunos costes de producción. También es destacable en este sistema su potencial amortiguador de la variabilidad del mercado, ya que el integrado solo asume parcialmente el riesgo de la actividad, y la participación sobre el balance de precio y coste recae en mayor medida sobre la empresa integradora, que tiene una mayor capacidad financiera. Por otra parte, este sistema reduce la capacidad empresarial de los productores primarios, cuya actividad se limita a una prestación de servicios a la empresa integradora, que asume y concentra la capacidad de decisión productiva y representatividad sectorial. </w:t>
      </w:r>
    </w:p>
    <w:p w14:paraId="2D6FC1B8" w14:textId="7FD9CFB8" w:rsidR="007849CD" w:rsidRDefault="00B75CB9" w:rsidP="00D4710E">
      <w:pPr>
        <w:pStyle w:val="Ttulo2"/>
        <w:spacing w:line="276" w:lineRule="auto"/>
        <w:rPr>
          <w:rFonts w:asciiTheme="majorHAnsi" w:hAnsiTheme="majorHAnsi" w:cstheme="majorHAnsi"/>
          <w:sz w:val="28"/>
        </w:rPr>
      </w:pPr>
      <w:bookmarkStart w:id="60" w:name="_Toc14695467"/>
      <w:r>
        <w:rPr>
          <w:rFonts w:asciiTheme="majorHAnsi" w:hAnsiTheme="majorHAnsi" w:cstheme="majorHAnsi"/>
          <w:sz w:val="28"/>
        </w:rPr>
        <w:t>3.2</w:t>
      </w:r>
      <w:r w:rsidR="007849CD" w:rsidRPr="00F3311F">
        <w:rPr>
          <w:rFonts w:asciiTheme="majorHAnsi" w:hAnsiTheme="majorHAnsi" w:cstheme="majorHAnsi"/>
          <w:sz w:val="28"/>
        </w:rPr>
        <w:t xml:space="preserve"> Análisis de los eslabones</w:t>
      </w:r>
      <w:bookmarkEnd w:id="60"/>
      <w:r w:rsidR="007849CD" w:rsidRPr="00F3311F">
        <w:rPr>
          <w:rFonts w:asciiTheme="majorHAnsi" w:hAnsiTheme="majorHAnsi" w:cstheme="majorHAnsi"/>
          <w:sz w:val="28"/>
        </w:rPr>
        <w:t xml:space="preserve"> </w:t>
      </w:r>
    </w:p>
    <w:p w14:paraId="1A7AA675" w14:textId="77777777" w:rsidR="00C407B2" w:rsidRDefault="00C407B2" w:rsidP="00C407B2"/>
    <w:p w14:paraId="619EB255" w14:textId="77777777" w:rsidR="004A272F" w:rsidRDefault="00C407B2" w:rsidP="003D7B02">
      <w:pPr>
        <w:spacing w:line="276" w:lineRule="auto"/>
        <w:jc w:val="both"/>
        <w:rPr>
          <w:rFonts w:asciiTheme="majorHAnsi" w:hAnsiTheme="majorHAnsi" w:cstheme="majorHAnsi"/>
          <w:sz w:val="24"/>
          <w:szCs w:val="22"/>
          <w:lang w:val="es-ES"/>
        </w:rPr>
      </w:pPr>
      <w:r w:rsidRPr="004A272F">
        <w:rPr>
          <w:rFonts w:asciiTheme="majorHAnsi" w:hAnsiTheme="majorHAnsi" w:cstheme="majorHAnsi"/>
          <w:sz w:val="24"/>
          <w:szCs w:val="22"/>
          <w:lang w:val="es-ES"/>
        </w:rPr>
        <w:lastRenderedPageBreak/>
        <w:t>El Sistema Agroalimentario supone en 2016 el 10,62% del VAB total de la economía española.</w:t>
      </w:r>
    </w:p>
    <w:p w14:paraId="1E74191D" w14:textId="77777777" w:rsidR="00BA0837" w:rsidRPr="004A272F" w:rsidRDefault="00BA0837" w:rsidP="003D7B02">
      <w:pPr>
        <w:spacing w:line="276" w:lineRule="auto"/>
        <w:jc w:val="both"/>
        <w:rPr>
          <w:rFonts w:asciiTheme="majorHAnsi" w:hAnsiTheme="majorHAnsi" w:cstheme="majorHAnsi"/>
          <w:sz w:val="24"/>
          <w:szCs w:val="22"/>
          <w:lang w:val="es-ES"/>
        </w:rPr>
      </w:pPr>
    </w:p>
    <w:p w14:paraId="5CF2420F" w14:textId="6E48196B" w:rsidR="004A272F" w:rsidRPr="004A272F" w:rsidRDefault="00C407B2" w:rsidP="003D7B02">
      <w:pPr>
        <w:spacing w:line="276" w:lineRule="auto"/>
        <w:ind w:left="142" w:hanging="142"/>
        <w:jc w:val="both"/>
        <w:rPr>
          <w:rFonts w:asciiTheme="majorHAnsi" w:hAnsiTheme="majorHAnsi" w:cstheme="majorHAnsi"/>
          <w:sz w:val="24"/>
          <w:szCs w:val="22"/>
          <w:lang w:val="es-ES"/>
        </w:rPr>
      </w:pPr>
      <w:r w:rsidRPr="004A272F">
        <w:rPr>
          <w:rFonts w:asciiTheme="majorHAnsi" w:hAnsiTheme="majorHAnsi" w:cstheme="majorHAnsi"/>
          <w:sz w:val="24"/>
          <w:szCs w:val="22"/>
          <w:lang w:val="es-ES"/>
        </w:rPr>
        <w:t xml:space="preserve">- De 2011 a 2016, la contribución del sistema agroalimentario ha pasado de suponer un 9% a un 10,62%. - El VAB de la producción agraria ha aumentado notablemente desde 2011 (+6.000M€; +28,8%). </w:t>
      </w:r>
    </w:p>
    <w:p w14:paraId="3FEC330C" w14:textId="77777777" w:rsidR="004A272F" w:rsidRPr="004A272F" w:rsidRDefault="00C407B2" w:rsidP="003D7B02">
      <w:pPr>
        <w:spacing w:line="276" w:lineRule="auto"/>
        <w:jc w:val="both"/>
        <w:rPr>
          <w:rFonts w:asciiTheme="majorHAnsi" w:hAnsiTheme="majorHAnsi" w:cstheme="majorHAnsi"/>
          <w:sz w:val="24"/>
          <w:szCs w:val="22"/>
          <w:lang w:val="es-ES"/>
        </w:rPr>
      </w:pPr>
      <w:r w:rsidRPr="004A272F">
        <w:rPr>
          <w:rFonts w:asciiTheme="majorHAnsi" w:hAnsiTheme="majorHAnsi" w:cstheme="majorHAnsi"/>
          <w:sz w:val="24"/>
          <w:szCs w:val="22"/>
          <w:lang w:val="es-ES"/>
        </w:rPr>
        <w:t>- Los ocupados en el sistema agroalimentario se estiman en 2,6 millones de personas.</w:t>
      </w:r>
    </w:p>
    <w:p w14:paraId="6E508422" w14:textId="1D5F5B8E" w:rsidR="00C407B2" w:rsidRPr="004A272F" w:rsidRDefault="00C407B2" w:rsidP="003D7B02">
      <w:pPr>
        <w:spacing w:line="276" w:lineRule="auto"/>
        <w:jc w:val="both"/>
        <w:rPr>
          <w:rFonts w:asciiTheme="majorHAnsi" w:hAnsiTheme="majorHAnsi" w:cstheme="majorHAnsi"/>
          <w:sz w:val="24"/>
          <w:szCs w:val="22"/>
          <w:lang w:val="es-ES"/>
        </w:rPr>
      </w:pPr>
      <w:r w:rsidRPr="004A272F">
        <w:rPr>
          <w:rFonts w:asciiTheme="majorHAnsi" w:hAnsiTheme="majorHAnsi" w:cstheme="majorHAnsi"/>
          <w:sz w:val="24"/>
          <w:szCs w:val="22"/>
          <w:lang w:val="es-ES"/>
        </w:rPr>
        <w:t>- Desde 2011 la ocupación ha crecido notablemente (+266.522 personas;+11,4%).</w:t>
      </w:r>
    </w:p>
    <w:p w14:paraId="01BAE71A" w14:textId="77777777" w:rsidR="007849CD" w:rsidRPr="004A272F" w:rsidRDefault="007849CD" w:rsidP="00D4710E">
      <w:pPr>
        <w:spacing w:line="276" w:lineRule="auto"/>
        <w:jc w:val="both"/>
        <w:rPr>
          <w:rFonts w:asciiTheme="majorHAnsi" w:hAnsiTheme="majorHAnsi" w:cstheme="majorHAnsi"/>
          <w:sz w:val="24"/>
          <w:szCs w:val="22"/>
          <w:lang w:val="es-ES"/>
        </w:rPr>
      </w:pPr>
    </w:p>
    <w:p w14:paraId="33676A4A" w14:textId="1F354EF4" w:rsidR="007849CD" w:rsidRPr="00B75CB9" w:rsidRDefault="00B75CB9" w:rsidP="00B75CB9">
      <w:pPr>
        <w:pStyle w:val="Ttulo2"/>
        <w:rPr>
          <w:rFonts w:asciiTheme="majorHAnsi" w:hAnsiTheme="majorHAnsi" w:cstheme="majorHAnsi"/>
          <w:b w:val="0"/>
          <w:caps/>
        </w:rPr>
      </w:pPr>
      <w:bookmarkStart w:id="61" w:name="_Toc14695468"/>
      <w:r>
        <w:rPr>
          <w:rFonts w:asciiTheme="majorHAnsi" w:hAnsiTheme="majorHAnsi" w:cstheme="majorHAnsi"/>
          <w:b w:val="0"/>
        </w:rPr>
        <w:t>3.2.1</w:t>
      </w:r>
      <w:r w:rsidR="00E72432" w:rsidRPr="00B75CB9">
        <w:rPr>
          <w:rFonts w:asciiTheme="majorHAnsi" w:hAnsiTheme="majorHAnsi" w:cstheme="majorHAnsi"/>
          <w:b w:val="0"/>
        </w:rPr>
        <w:t xml:space="preserve"> S</w:t>
      </w:r>
      <w:r w:rsidR="007849CD" w:rsidRPr="00B75CB9">
        <w:rPr>
          <w:rFonts w:asciiTheme="majorHAnsi" w:hAnsiTheme="majorHAnsi" w:cstheme="majorHAnsi"/>
          <w:b w:val="0"/>
        </w:rPr>
        <w:t>ector productor</w:t>
      </w:r>
      <w:r w:rsidR="007849CD" w:rsidRPr="00B75CB9">
        <w:rPr>
          <w:rFonts w:asciiTheme="majorHAnsi" w:hAnsiTheme="majorHAnsi" w:cstheme="majorHAnsi"/>
          <w:b w:val="0"/>
          <w:caps/>
        </w:rPr>
        <w:t>:</w:t>
      </w:r>
      <w:bookmarkEnd w:id="61"/>
      <w:r w:rsidR="007849CD" w:rsidRPr="00B75CB9">
        <w:rPr>
          <w:rFonts w:asciiTheme="majorHAnsi" w:hAnsiTheme="majorHAnsi" w:cstheme="majorHAnsi"/>
          <w:b w:val="0"/>
          <w:caps/>
        </w:rPr>
        <w:t xml:space="preserve"> </w:t>
      </w:r>
    </w:p>
    <w:p w14:paraId="7C3B1A00" w14:textId="77777777" w:rsidR="008151E5" w:rsidRDefault="008151E5" w:rsidP="00D4710E">
      <w:pPr>
        <w:pStyle w:val="Sinespaciado"/>
        <w:spacing w:before="0" w:after="0" w:line="276" w:lineRule="auto"/>
        <w:rPr>
          <w:rFonts w:asciiTheme="majorHAnsi" w:hAnsiTheme="majorHAnsi" w:cstheme="majorHAnsi"/>
          <w:sz w:val="24"/>
          <w:szCs w:val="22"/>
        </w:rPr>
      </w:pPr>
    </w:p>
    <w:p w14:paraId="5B49B88D" w14:textId="2345A02A" w:rsidR="00C6791B" w:rsidRPr="00801763" w:rsidRDefault="00C6791B" w:rsidP="00801763">
      <w:pPr>
        <w:autoSpaceDE w:val="0"/>
        <w:autoSpaceDN w:val="0"/>
        <w:adjustRightInd w:val="0"/>
        <w:spacing w:line="271" w:lineRule="auto"/>
        <w:jc w:val="both"/>
        <w:rPr>
          <w:rFonts w:asciiTheme="majorHAnsi" w:hAnsiTheme="majorHAnsi" w:cstheme="majorHAnsi"/>
          <w:sz w:val="24"/>
          <w:szCs w:val="24"/>
          <w:lang w:val="es-ES"/>
        </w:rPr>
      </w:pPr>
      <w:r w:rsidRPr="00801763">
        <w:rPr>
          <w:rFonts w:asciiTheme="majorHAnsi" w:hAnsiTheme="majorHAnsi" w:cstheme="majorHAnsi"/>
          <w:sz w:val="24"/>
          <w:szCs w:val="24"/>
          <w:lang w:val="es-ES"/>
        </w:rPr>
        <w:t>El valor añadido bruto del sector agrario se recoge en las Cuentas Económicas de la Agricultura (MAPA). Para el año 2016, la cifra fue de 26.993 M€, obtenida a partir de una producción de la rama agraria de 48.091 M€ y unos consumos intermedios de 21.098 M€.</w:t>
      </w:r>
    </w:p>
    <w:p w14:paraId="73F464E9" w14:textId="121B049B" w:rsidR="004A272F" w:rsidRDefault="00B75CB9" w:rsidP="00801763">
      <w:pPr>
        <w:autoSpaceDE w:val="0"/>
        <w:autoSpaceDN w:val="0"/>
        <w:adjustRightInd w:val="0"/>
        <w:spacing w:line="271" w:lineRule="auto"/>
        <w:jc w:val="both"/>
        <w:rPr>
          <w:rFonts w:asciiTheme="majorHAnsi" w:hAnsiTheme="majorHAnsi" w:cstheme="majorHAnsi"/>
          <w:sz w:val="24"/>
          <w:szCs w:val="24"/>
          <w:u w:val="single"/>
          <w:lang w:val="es-ES"/>
        </w:rPr>
      </w:pPr>
      <w:r>
        <w:rPr>
          <w:rFonts w:asciiTheme="majorHAnsi" w:hAnsiTheme="majorHAnsi" w:cstheme="majorHAnsi"/>
          <w:sz w:val="24"/>
          <w:szCs w:val="24"/>
          <w:lang w:val="es-ES"/>
        </w:rPr>
        <w:tab/>
      </w:r>
      <w:r w:rsidRPr="00B75CB9">
        <w:rPr>
          <w:rFonts w:asciiTheme="majorHAnsi" w:hAnsiTheme="majorHAnsi" w:cstheme="majorHAnsi"/>
          <w:sz w:val="24"/>
          <w:szCs w:val="24"/>
          <w:u w:val="single"/>
          <w:lang w:val="es-ES"/>
        </w:rPr>
        <w:t>Producción vegetal</w:t>
      </w:r>
    </w:p>
    <w:p w14:paraId="640BB4FA" w14:textId="77777777" w:rsidR="00BA0837" w:rsidRPr="00B75CB9" w:rsidRDefault="00BA0837" w:rsidP="00801763">
      <w:pPr>
        <w:autoSpaceDE w:val="0"/>
        <w:autoSpaceDN w:val="0"/>
        <w:adjustRightInd w:val="0"/>
        <w:spacing w:line="271" w:lineRule="auto"/>
        <w:jc w:val="both"/>
        <w:rPr>
          <w:rFonts w:asciiTheme="majorHAnsi" w:hAnsiTheme="majorHAnsi" w:cstheme="majorHAnsi"/>
          <w:sz w:val="24"/>
          <w:szCs w:val="24"/>
          <w:u w:val="single"/>
          <w:lang w:val="es-ES"/>
        </w:rPr>
      </w:pPr>
    </w:p>
    <w:p w14:paraId="7359AA26" w14:textId="193FC08F"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El valor de la pr</w:t>
      </w:r>
      <w:r w:rsidR="00BC04DA">
        <w:rPr>
          <w:rFonts w:asciiTheme="majorHAnsi" w:hAnsiTheme="majorHAnsi" w:cstheme="majorHAnsi"/>
          <w:color w:val="auto"/>
        </w:rPr>
        <w:t>oducción vegetal alcanzó en 2018</w:t>
      </w:r>
      <w:r w:rsidRPr="00801763">
        <w:rPr>
          <w:rFonts w:asciiTheme="majorHAnsi" w:hAnsiTheme="majorHAnsi" w:cstheme="majorHAnsi"/>
          <w:color w:val="auto"/>
        </w:rPr>
        <w:t xml:space="preserve"> los </w:t>
      </w:r>
      <w:r w:rsidR="00BC04DA">
        <w:rPr>
          <w:rFonts w:asciiTheme="majorHAnsi" w:hAnsiTheme="majorHAnsi" w:cstheme="majorHAnsi"/>
          <w:color w:val="auto"/>
        </w:rPr>
        <w:t>32</w:t>
      </w:r>
      <w:r w:rsidRPr="00801763">
        <w:rPr>
          <w:rFonts w:asciiTheme="majorHAnsi" w:hAnsiTheme="majorHAnsi" w:cstheme="majorHAnsi"/>
          <w:color w:val="auto"/>
        </w:rPr>
        <w:t>.</w:t>
      </w:r>
      <w:r w:rsidR="00BC04DA">
        <w:rPr>
          <w:rFonts w:asciiTheme="majorHAnsi" w:hAnsiTheme="majorHAnsi" w:cstheme="majorHAnsi"/>
          <w:color w:val="auto"/>
        </w:rPr>
        <w:t>413</w:t>
      </w:r>
      <w:r w:rsidRPr="00801763">
        <w:rPr>
          <w:rFonts w:asciiTheme="majorHAnsi" w:hAnsiTheme="majorHAnsi" w:cstheme="majorHAnsi"/>
          <w:color w:val="auto"/>
        </w:rPr>
        <w:t xml:space="preserve"> millones de euros, representando el 60,</w:t>
      </w:r>
      <w:r w:rsidR="00BC04DA">
        <w:rPr>
          <w:rFonts w:asciiTheme="majorHAnsi" w:hAnsiTheme="majorHAnsi" w:cstheme="majorHAnsi"/>
          <w:color w:val="auto"/>
        </w:rPr>
        <w:t>7</w:t>
      </w:r>
      <w:r w:rsidRPr="00801763">
        <w:rPr>
          <w:rFonts w:asciiTheme="majorHAnsi" w:hAnsiTheme="majorHAnsi" w:cstheme="majorHAnsi"/>
          <w:color w:val="auto"/>
        </w:rPr>
        <w:t>% de la producción agraria. Destaca el sector de las frutas y hortalizas, seguido en importancia por los cereales, el aceite de oliva y plantas forrajeras.</w:t>
      </w:r>
    </w:p>
    <w:p w14:paraId="182B00FF" w14:textId="77777777" w:rsidR="00FF29E1" w:rsidRDefault="00FF29E1" w:rsidP="00801763">
      <w:pPr>
        <w:pStyle w:val="justificado"/>
        <w:shd w:val="clear" w:color="auto" w:fill="FFFFFF"/>
        <w:spacing w:line="271" w:lineRule="auto"/>
        <w:jc w:val="both"/>
        <w:rPr>
          <w:rFonts w:asciiTheme="majorHAnsi" w:hAnsiTheme="majorHAnsi" w:cstheme="majorHAnsi"/>
          <w:color w:val="auto"/>
        </w:rPr>
      </w:pPr>
    </w:p>
    <w:p w14:paraId="43D2088A" w14:textId="77777777" w:rsidR="00FF29E1" w:rsidRPr="00FF29E1" w:rsidRDefault="00FF29E1" w:rsidP="00FF29E1">
      <w:pPr>
        <w:pStyle w:val="justificado"/>
        <w:rPr>
          <w:rFonts w:asciiTheme="majorHAnsi" w:hAnsiTheme="majorHAnsi" w:cstheme="majorHAnsi"/>
          <w:color w:val="auto"/>
        </w:rPr>
      </w:pPr>
      <w:r w:rsidRPr="00FF29E1">
        <w:rPr>
          <w:rFonts w:asciiTheme="majorHAnsi" w:hAnsiTheme="majorHAnsi" w:cstheme="majorHAnsi"/>
          <w:color w:val="auto"/>
        </w:rPr>
        <w:t>En el año 2018 el valor de la producción del sector hortofrutícola fue de 14.760 millones de euros, aumentando un 2% respecto al año anterior y un 13% respecto a la media de los últimos cinco años. Aportó el 46% de la producción vegetal y el 28% de la Producción de la rama Agraria.</w:t>
      </w:r>
    </w:p>
    <w:p w14:paraId="38659331" w14:textId="77777777" w:rsidR="00FF29E1" w:rsidRPr="00FF29E1" w:rsidRDefault="00FF29E1" w:rsidP="00FF29E1">
      <w:pPr>
        <w:pStyle w:val="justificado"/>
        <w:rPr>
          <w:rFonts w:asciiTheme="majorHAnsi" w:hAnsiTheme="majorHAnsi" w:cstheme="majorHAnsi"/>
          <w:color w:val="auto"/>
        </w:rPr>
      </w:pPr>
    </w:p>
    <w:p w14:paraId="5F768660" w14:textId="77777777" w:rsidR="00FF29E1" w:rsidRDefault="00FF29E1" w:rsidP="00FF29E1">
      <w:pPr>
        <w:pStyle w:val="justificado"/>
        <w:jc w:val="both"/>
        <w:rPr>
          <w:rFonts w:asciiTheme="majorHAnsi" w:hAnsiTheme="majorHAnsi" w:cstheme="majorHAnsi"/>
          <w:color w:val="auto"/>
        </w:rPr>
      </w:pPr>
      <w:r w:rsidRPr="00FF29E1">
        <w:rPr>
          <w:rFonts w:asciiTheme="majorHAnsi" w:hAnsiTheme="majorHAnsi" w:cstheme="majorHAnsi"/>
          <w:color w:val="auto"/>
        </w:rPr>
        <w:t>La producción hortofrutícola fue de 28,6 millones de toneladas lo que supone  un aumento del 1% respecto al año anterior  y del 5% respecto a la media de los últimos cinco años. España es el  primer país productor de frutas y hortalizas de la Unión Europea y el  quinto a nivel mundial, obteniéndose más de 80 productos diferentes y una gran diversidad de calendarios y sistemas de producción.</w:t>
      </w:r>
    </w:p>
    <w:p w14:paraId="48435F04" w14:textId="77777777" w:rsidR="00FF29E1" w:rsidRDefault="00FF29E1" w:rsidP="00FF29E1">
      <w:pPr>
        <w:pStyle w:val="justificado"/>
        <w:jc w:val="both"/>
        <w:rPr>
          <w:rFonts w:asciiTheme="majorHAnsi" w:hAnsiTheme="majorHAnsi" w:cstheme="majorHAnsi"/>
          <w:color w:val="auto"/>
        </w:rPr>
      </w:pPr>
    </w:p>
    <w:p w14:paraId="5BA0EB34" w14:textId="53B90C51" w:rsidR="00FF29E1" w:rsidRPr="00FF29E1" w:rsidRDefault="00FF29E1" w:rsidP="00FF29E1">
      <w:pPr>
        <w:pStyle w:val="justificado"/>
        <w:jc w:val="both"/>
        <w:rPr>
          <w:rFonts w:asciiTheme="majorHAnsi" w:hAnsiTheme="majorHAnsi" w:cstheme="majorHAnsi"/>
          <w:color w:val="auto"/>
        </w:rPr>
      </w:pPr>
      <w:r w:rsidRPr="00FF29E1">
        <w:rPr>
          <w:rFonts w:asciiTheme="majorHAnsi" w:hAnsiTheme="majorHAnsi" w:cstheme="majorHAnsi"/>
          <w:color w:val="auto"/>
          <w:lang w:val="es-ES_tradnl"/>
        </w:rPr>
        <w:t>La superficie total de frutas y hortalizas en 2018 fue de España las 911.110 hectáreas (41% hortalizas, 32% cítricos, 21% frutales de fruta dulce, 2% frutas tropicales, 2% de uva de mesa y 1% plátano), a las que se añaden 748.348 hectáreas de frutos cáscara y 67.200 hectáreas de patata. En total son 1.726.658 hectáreas. Respecto al sistema de producción, la superficie de frutas y hortalizas se cultiva un 16% en secano, un 73% en regadío al aire libre y un 12% en regadío protegido. En frutos de cáscara, se cultiva un 91% en secano y un 9% en regadío.</w:t>
      </w:r>
    </w:p>
    <w:p w14:paraId="1135DC76"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086A5E7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El sector de frutas y hortalizas tiene un fuerte carácter exportador ya que en torno al 50% de la producción tiene este destino llegando hasta el 70% en algunos productos. La </w:t>
      </w:r>
      <w:r w:rsidRPr="00FF29E1">
        <w:rPr>
          <w:rFonts w:asciiTheme="majorHAnsi" w:hAnsiTheme="majorHAnsi" w:cstheme="majorHAnsi"/>
          <w:color w:val="auto"/>
        </w:rPr>
        <w:lastRenderedPageBreak/>
        <w:t xml:space="preserve">balanza comercial en el año 2018 tuvo un saldo positivo de 10.200 millones de euros., disminuyendo un 2% respecto al año anterior pero </w:t>
      </w:r>
      <w:proofErr w:type="spellStart"/>
      <w:r w:rsidRPr="00FF29E1">
        <w:rPr>
          <w:rFonts w:asciiTheme="majorHAnsi" w:hAnsiTheme="majorHAnsi" w:cstheme="majorHAnsi"/>
          <w:color w:val="auto"/>
        </w:rPr>
        <w:t>auemntando</w:t>
      </w:r>
      <w:proofErr w:type="spellEnd"/>
      <w:r w:rsidRPr="00FF29E1">
        <w:rPr>
          <w:rFonts w:asciiTheme="majorHAnsi" w:hAnsiTheme="majorHAnsi" w:cstheme="majorHAnsi"/>
          <w:color w:val="auto"/>
        </w:rPr>
        <w:t xml:space="preserve"> un 5% respecto a la media de los últimos cinco años. La Unión  Europea (Alemania, Francia y Reino Unido principalmente) es el principal destino de nuestras exportaciones,  absorbiendo un 92% de su valor. España es el principal exportador de la Unión Europea y  el tercero a nivel mundial. </w:t>
      </w:r>
    </w:p>
    <w:p w14:paraId="212B0596" w14:textId="77777777" w:rsid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Existen 216.182 explotaciones que tienen orientación técnico - económica frutas y hortalizas, de las cuales el 82% corresponden a frutas y el 18% a hortalizas. Dicha cifra supone el 22% del total de explotaciones agrarias. Asimismo, las explotaciones de frutas y hortalizas se caracterizan por su atomización y pequeño tamaño, ya que de las 216.182 explotaciones el 74% tiene menos de 16 hectáreas, el 16% se sitúa entre las 16 y las 40 hectáreas, el 7% entre las 40 y las 100 y sólo el 3% supera las 100 hectáreas.</w:t>
      </w:r>
      <w:r>
        <w:rPr>
          <w:rFonts w:asciiTheme="majorHAnsi" w:hAnsiTheme="majorHAnsi" w:cstheme="majorHAnsi"/>
          <w:color w:val="auto"/>
        </w:rPr>
        <w:t xml:space="preserve"> </w:t>
      </w:r>
    </w:p>
    <w:p w14:paraId="3A8C25D5" w14:textId="77777777" w:rsidR="00FF29E1" w:rsidRDefault="00FF29E1" w:rsidP="00FF29E1">
      <w:pPr>
        <w:pStyle w:val="justificado"/>
        <w:shd w:val="clear" w:color="auto" w:fill="FFFFFF"/>
        <w:spacing w:line="271" w:lineRule="auto"/>
        <w:jc w:val="both"/>
        <w:rPr>
          <w:rFonts w:asciiTheme="majorHAnsi" w:hAnsiTheme="majorHAnsi" w:cstheme="majorHAnsi"/>
          <w:color w:val="auto"/>
        </w:rPr>
      </w:pPr>
    </w:p>
    <w:p w14:paraId="6E7BB99F"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En relación a los cereales, en España se contabilizan 272.335 explotaciones de cereales que suponen aproximadamente el 28% del total de explotaciones agrarias.</w:t>
      </w:r>
    </w:p>
    <w:p w14:paraId="1B8CF230"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La superficie media de cereal en las explotaciones que cuentan con estos cultivos, es de 24 ha; sin embargo, más de la mitad de la superficie total de cereales (56%), corresponde a explotaciones con una SAU superior a las 100 ha, las cuales representan casi el 15% de total de explotaciones cerealistas. De hecho, las explotaciones dedicadas principalmente a estos cultivos presentan una superficie media de casi 100 ha. </w:t>
      </w:r>
    </w:p>
    <w:p w14:paraId="0933E4C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26DD12EB"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valor de la producción estimado para 2018 fue de 4.279 M €, ya que esta campaña fue excepcionalmente buena. La media de las últimas 5 campañas da un valor medio de 3.656 M€, lo que indica que en la última campaña el valor del sector de los cereales aumentó un 17% con respecto a la media. Sin embargo, lo que caracteriza al sector de los cereales es la volatilidad en el valor de las producciones (hecho lógico al ser muy dependientes de la climatología), como demuestra el hecho que la campaña 2017 el valor de la producción cayó a mínimos históricos, rozando sin alcanzar los 3.000 M€. En 2018, el sector de los cereales aportó el 8% de la Producción de la Rama Agraria y el 13% de la Producción de la Rama Vegetal.</w:t>
      </w:r>
    </w:p>
    <w:p w14:paraId="0A2B8CA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43C0916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España es un importador neto de cereales, con un déficit estructural medio de la balanza comercial en las últimas 5 campañas de 11,5 Mt. Las importaciones españolas de cereal ascendieron en la campaña 2017/18 hasta los 18,8 Mt y el saldo comercial registró un déficit de 17,8 Mt. La variabilidad de las cosechas repercute en el volumen de importación de cereales de la campaña. </w:t>
      </w:r>
    </w:p>
    <w:p w14:paraId="4D96097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FF6AC52"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En este sector, el tipo de organización más representativa es la cooperativa, que actualmente se cifran en el entorno de las 450, las cuales representan una comercialización de alrededor del 40% de la producción en un año estándar.</w:t>
      </w:r>
    </w:p>
    <w:p w14:paraId="053D8A34"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lastRenderedPageBreak/>
        <w:t>Los cultivos de cereal (junto con oleaginosas, proteaginosas y leguminosas, que normalmente constituyen la orientación de la explotación) se caracterizan en su conjunto por su vulnerabilidad debido a su atomización. Además, la gran competencia internacional en materia de precios conduce a una baja rentabilidad de las explotaciones, que además presentan unas producciones muy variables, dependiendo de las adversidades climatológicas, al ser la mayor parte del cultivo en condiciones de secano.</w:t>
      </w:r>
    </w:p>
    <w:p w14:paraId="24EB9A26"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7D85728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38887C2"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España es el principal productor y comercializador de aceite de oliva y aceitunas de mesa del mundo. Con una superficie olivarera de 2.605.252 ha (24% de la mundial) produce de media el 42% del total del aceite de oliva y el 24% de las aceitunas de mesa. En términos globales podría asegurarse que una de cada dos botellas de aceite de oliva y un frasco de cada cuatro de aceitunas de mesa que se consume en el planeta, tienen su origen en España.</w:t>
      </w:r>
    </w:p>
    <w:p w14:paraId="27CCCCC2"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w:t>
      </w:r>
    </w:p>
    <w:p w14:paraId="76D7F98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La producción de aceite de oliva en España, para la campaña 2018/19, se sitúa en 1.790.000 t, lo que supone un 42% por encima de la campaña pasada y representa el 50% de la producción mundial; por lo tanto, España se convierte en la principal almazara del mundo. </w:t>
      </w:r>
    </w:p>
    <w:p w14:paraId="568D9693"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10D66517"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olivar de almazara, con 362.617 explotaciones, supone el 37,7% del total de explotaciones agrarias nacionales (datos la encuesta sobre la estructura de las explotaciones agrícolas de 2016). El tamaño medio de explotación es de 5,79 hectáreas.  El 27% de las explotaciones tienen una superficie entre 2 y 10 ha, el 22% entre 10 y 30 has, el 24% entre 30 y 100 ha y el 23% por encima de 100 ha.</w:t>
      </w:r>
    </w:p>
    <w:p w14:paraId="0BF0D51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312C5E07"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64% de la producción total de aceite de oliva es obtenido en almazaras cooperativas, que a su vez representan el 51% de las almazaras existentes en España.</w:t>
      </w:r>
    </w:p>
    <w:p w14:paraId="0E1FF7A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7B6BA118"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La producción media de las 6 últimas campañas (2012/13 a 2017/18) se sitúa en 1.199.026 t, con un récord de 1.790.000 t en la campaña actual.</w:t>
      </w:r>
    </w:p>
    <w:p w14:paraId="6B100C1A"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61AD4159"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valor medio de facturación es de 3.424 M€. En la campaña 2017/18 se alcanzó un valor de 3.783  M€, un 10,5% por encima de la media de las 6 campañas anteriores</w:t>
      </w:r>
      <w:proofErr w:type="gramStart"/>
      <w:r w:rsidRPr="00FF29E1">
        <w:rPr>
          <w:rFonts w:asciiTheme="majorHAnsi" w:hAnsiTheme="majorHAnsi" w:cstheme="majorHAnsi"/>
          <w:color w:val="auto"/>
        </w:rPr>
        <w:t>..</w:t>
      </w:r>
      <w:proofErr w:type="gramEnd"/>
      <w:r w:rsidRPr="00FF29E1">
        <w:rPr>
          <w:rFonts w:asciiTheme="majorHAnsi" w:hAnsiTheme="majorHAnsi" w:cstheme="majorHAnsi"/>
          <w:color w:val="auto"/>
        </w:rPr>
        <w:t xml:space="preserve"> Supone el 6,8% de la Producción Agraria y 10,3% de la Producción Vegetal.</w:t>
      </w:r>
    </w:p>
    <w:p w14:paraId="4EB0CF9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7017DE84"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España también es el primer exportador mundial, con una media de 946.500 t y un récord en la campaña 2013/14 en la que se alcanzó la cifra de 1.118.621 t exportadas. Las exportaciones representan de media el 65% del comercio total del aceite de oliva en España y el 70% del volumen de las exportaciones españolas tienen como destino la UE, </w:t>
      </w:r>
      <w:r w:rsidRPr="00FF29E1">
        <w:rPr>
          <w:rFonts w:asciiTheme="majorHAnsi" w:hAnsiTheme="majorHAnsi" w:cstheme="majorHAnsi"/>
          <w:color w:val="auto"/>
        </w:rPr>
        <w:lastRenderedPageBreak/>
        <w:t xml:space="preserve">con gran peso de las salidas a Italia que suponen el 40% del total. La campaña anterior 2017/18 se alcanzó un de las exportaciones de 3.095 M€, un 3% por encima de la media (3.017 M€), y una tasa de cobertura de 590 %. </w:t>
      </w:r>
    </w:p>
    <w:p w14:paraId="5EC05CE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14B9A407"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En el caso del consumo interior, aunque supone nuestro principal mercado de comercialización con volúmenes superiores a cualquier destino exterior, existe una tendencia descendente en función del nivel de precios.</w:t>
      </w:r>
    </w:p>
    <w:p w14:paraId="30D64F4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28ACFDA3"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F8B26B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68580AE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En el caso de la aceituna de mesa, La producción de la campaña 2018/19 ha sido de 587.240 toneladas, un +4% por encima de la campaña anterior</w:t>
      </w:r>
      <w:proofErr w:type="gramStart"/>
      <w:r w:rsidRPr="00FF29E1">
        <w:rPr>
          <w:rFonts w:asciiTheme="majorHAnsi" w:hAnsiTheme="majorHAnsi" w:cstheme="majorHAnsi"/>
          <w:color w:val="auto"/>
        </w:rPr>
        <w:t>..</w:t>
      </w:r>
      <w:proofErr w:type="gramEnd"/>
    </w:p>
    <w:p w14:paraId="14A7E989"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8B6F288"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España es líder mundial en producción y exportación de aceituna de mesa, con una media en los últimos 6 años de 561.212 t. La producción española representa aproximadamente el 70% de la producción de la UE y el 22% de la mundial. </w:t>
      </w:r>
    </w:p>
    <w:p w14:paraId="6D830300"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56170EA9"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El olivar de aceituna de mesa cuenta con 30.511 explotaciones, con un tamaño medio de 5,75 ha. El 29% de las </w:t>
      </w:r>
      <w:proofErr w:type="spellStart"/>
      <w:r w:rsidRPr="00FF29E1">
        <w:rPr>
          <w:rFonts w:asciiTheme="majorHAnsi" w:hAnsiTheme="majorHAnsi" w:cstheme="majorHAnsi"/>
          <w:color w:val="auto"/>
        </w:rPr>
        <w:t>entamadoras</w:t>
      </w:r>
      <w:proofErr w:type="spellEnd"/>
      <w:r w:rsidRPr="00FF29E1">
        <w:rPr>
          <w:rFonts w:asciiTheme="majorHAnsi" w:hAnsiTheme="majorHAnsi" w:cstheme="majorHAnsi"/>
          <w:color w:val="auto"/>
        </w:rPr>
        <w:t xml:space="preserve"> son cooperativas que producen el 45% de la aceituna transformada.</w:t>
      </w:r>
    </w:p>
    <w:p w14:paraId="4D9A466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328AE10A"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Se debe destacar la vocación exportadora del sector de la aceituna de mesa, destinando más del 65% del total comercializado, con un valor de medio de 690 millones de Euros y más de 335.000 toneladas. El 43% de las exportaciones se destinan a países de la UE y en su conjunto se exporta a más de 160 países en los cinco continentes. EEUU supone nuestro principal mercado con el 23% del total exportado y la UE supone el 45% de nuestras exportaciones, con un 10% de envíos a Italia y un 8% a Francia.</w:t>
      </w:r>
    </w:p>
    <w:p w14:paraId="14E80265"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23B0944A"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mercado de la aceituna de mesa en España se caracteriza por un mayor peso de las exportaciones sobre el conjunto de la comercialización, un mercado interno maduro y un alto nivel de existencias, por encima de las necesidades de enlace de campaña.</w:t>
      </w:r>
    </w:p>
    <w:p w14:paraId="4835AC2E"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4E1B3D9F"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617DF99"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5CE99419"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7E360A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España es el Estado miembro de la UE con mayor superficie de viñedo (953.226 ha  plantadas de viñedo), 30% del total de la UE, seguida por Francia (25%) e Italia (21%). Asimismo, nuestro país es el mayor exportador mundial de vino y el segundo productor mundial (tras Italia).</w:t>
      </w:r>
    </w:p>
    <w:p w14:paraId="390054F1"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5CC76CB4"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lastRenderedPageBreak/>
        <w:t>El sector del vino representa el 6,1% de la Producción Vegetal y 3,7% de la Producción de la Rama Agraria en 2018. Así, el volumen de la producción de vino y mosto en dicho año ha aumentado un 38,4% en cantidad, mientras que en valor ha disminuido un 8% con respecto al año anterior.</w:t>
      </w:r>
    </w:p>
    <w:p w14:paraId="69A21658"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A402FD3"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La producción está sometida a una gran variabilidad de unas campañas a otras debido a la fuerte dependencia del cultivo de las condiciones climatológicas (lluvias y heladas). Para la campaña actual 2018/2019, en España la producción estimada alcanza los 50,35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de vino y mosto (cerca de 44,2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corresponden a vino y 6,2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a mosto en poder de los productores), lo que supone una cifra relativamente alta, al representar un 41,9% más que la de la campaña pasada y un 14% más que la de la media de las 5 campañas anteriores. Además, se trata de la segunda cifra más elevada, por detrás del récord histórico de la campaña 2013/14.</w:t>
      </w:r>
    </w:p>
    <w:p w14:paraId="5B775CCF"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D306305"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De la producción total de vino, se estima que aproximadamente 14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corresponden a vino con DOP, 5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a vino con IGP y 9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a vinos varietales. El resto de vinos supondrían el 32% de la producción total.</w:t>
      </w:r>
    </w:p>
    <w:p w14:paraId="145366E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5EA036B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El vino es un producto con una balanza comercial positiva y con una tendencia creciente. Las exportaciones de vino y mosto en los últimos años han variado de un año a otro, dependiendo de las cifras de producción de España y del mundo. En 2017/2018 se alcanzaron los 24.377.000 </w:t>
      </w:r>
      <w:proofErr w:type="spellStart"/>
      <w:r w:rsidRPr="00FF29E1">
        <w:rPr>
          <w:rFonts w:asciiTheme="majorHAnsi" w:hAnsiTheme="majorHAnsi" w:cstheme="majorHAnsi"/>
          <w:color w:val="auto"/>
        </w:rPr>
        <w:t>Mhl</w:t>
      </w:r>
      <w:proofErr w:type="spellEnd"/>
      <w:r w:rsidRPr="00FF29E1">
        <w:rPr>
          <w:rFonts w:asciiTheme="majorHAnsi" w:hAnsiTheme="majorHAnsi" w:cstheme="majorHAnsi"/>
          <w:color w:val="auto"/>
        </w:rPr>
        <w:t xml:space="preserve"> exportados, por un valor de 3.217 millones de euros (+0,4% y +9,2%, respectivamente, respecto a la campaña 2016/17). El principal destino de las exportaciones de vino de los últimos años es la UE (60%) destacando Francia y Alemania. De terceros países destacan en volumen las exportaciones a China, EEUU y Canadá.</w:t>
      </w:r>
    </w:p>
    <w:p w14:paraId="4360C3AE"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723FCDF0"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Del total de explotaciones (521.419, datos del Inventario Vitícola 2018), el 69% tienen menos de media hectárea. No obstante, las explotaciones especializadas cuya orientación económica es fundamentalmente el viñedo (es decir, aquellas en las que este producto representa más de dos terceras partes del valor de su producción) se reducen a 62.000, con una superficie media de 14 ha.</w:t>
      </w:r>
    </w:p>
    <w:p w14:paraId="14CC6754"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0A4ADC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Las cooperativas representan algo más del 40% de las explotaciones de vid (unos 200.000 socios viticultores) que abarcan el 58% de la superficie. Producen en torno al 65% de la uva de vinificación, lo que les permite elaborar más del 60% del vino y mosto español. El 70% del vino elaborado por las cooperativas son vinos sin Indicación Geográfica</w:t>
      </w:r>
    </w:p>
    <w:p w14:paraId="48AC525C"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15E078CE"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5F872C8F"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lastRenderedPageBreak/>
        <w:t xml:space="preserve">Por su parte, la balanza comercial es positiva en el arroz, con unas exportaciones medias en las últimas 5 campañas de 233.113 t frente a unas importaciones de 85.606 </w:t>
      </w:r>
      <w:proofErr w:type="gramStart"/>
      <w:r w:rsidRPr="00FF29E1">
        <w:rPr>
          <w:rFonts w:asciiTheme="majorHAnsi" w:hAnsiTheme="majorHAnsi" w:cstheme="majorHAnsi"/>
          <w:color w:val="auto"/>
        </w:rPr>
        <w:t>t .</w:t>
      </w:r>
      <w:proofErr w:type="gramEnd"/>
      <w:r w:rsidRPr="00FF29E1">
        <w:rPr>
          <w:rFonts w:asciiTheme="majorHAnsi" w:hAnsiTheme="majorHAnsi" w:cstheme="majorHAnsi"/>
          <w:color w:val="auto"/>
        </w:rPr>
        <w:t xml:space="preserve"> El saldo comercial ha disminuido desde la campaña 2012/13, llegando a un mínimo en la campaña 2017/18.</w:t>
      </w:r>
    </w:p>
    <w:p w14:paraId="5FC54CDA"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2F223E68"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España produce de media 2,87 millones de toneladas de arroz cáscara, lo que nos sitúa como el segundo productor comunitario, tras Italia, con el 28% de la producción de la UE y el 24,7% de la superficie comunitaria.</w:t>
      </w:r>
    </w:p>
    <w:p w14:paraId="4FC0F53F"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388D4715"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valor de la producción ha ido creciendo en los últimos tres años, pero su participación en la Producción de la Rama Agraria se estima menor en el año 2017. En cuanto a su participación en la Producción de la Rama Vegetal, sigue estando por debajo del 1%.</w:t>
      </w:r>
    </w:p>
    <w:p w14:paraId="1EECB843"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7A65AEB0"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Hay unas 6.643 explotaciones según datos de la solicitud única de 2017, y cerca del 86% tienen menos de 30 ha, las cuales concentran alrededor del 42% de la superficie total de arroz. </w:t>
      </w:r>
    </w:p>
    <w:p w14:paraId="29EB99AA"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Más del 50% de los arroceros está integrado en una cooperativa ya que existe una importante implantación cooperativa en las zonas de producción.</w:t>
      </w:r>
    </w:p>
    <w:p w14:paraId="4E72CED2"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257533BE"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 xml:space="preserve">La superficie media de oleaginosas de España, con aproximadamente 820.000 ha, representa el 3,5% de la SAU, siendo el cultivo mayoritario el girasol, el cual representa el 94,2% de la superficie de oleaginosas, seguido de la colza (5,1%), cártamo (0,6%) y soja (0,1%). Dentro de los cultivos herbáceos, el girasol destaca por ser uno de los principales cultivos que más superficie ocupan en España, solo por detrás del trigo y la cebada. </w:t>
      </w:r>
    </w:p>
    <w:p w14:paraId="1C4ED79E"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valor de la producción de oleaginosas en España, supera los 355 M€, siendo además cultivos de una gran importancia social y territorial, por su aprovechamiento industrial, con un tejido productivo muy ligado al medio rural, contribuyendo a fijar población, especialmente en las zonas menos productivas.</w:t>
      </w:r>
    </w:p>
    <w:p w14:paraId="17B288D7"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El tamaño medio de las explotaciones que tienen oleaginosas es de unas 18 ha; sin embargo más del 65% de la superficie total de oleaginosas corresponde a explotaciones con una SAU superior a las 100 ha (representan casi el 30% de total)</w:t>
      </w:r>
    </w:p>
    <w:p w14:paraId="37385BAD"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p>
    <w:p w14:paraId="0821BED6" w14:textId="77777777" w:rsidR="00FF29E1" w:rsidRPr="00FF29E1" w:rsidRDefault="00FF29E1" w:rsidP="00FF29E1">
      <w:pPr>
        <w:pStyle w:val="justificado"/>
        <w:shd w:val="clear" w:color="auto" w:fill="FFFFFF"/>
        <w:spacing w:line="271" w:lineRule="auto"/>
        <w:jc w:val="both"/>
        <w:rPr>
          <w:rFonts w:asciiTheme="majorHAnsi" w:hAnsiTheme="majorHAnsi" w:cstheme="majorHAnsi"/>
          <w:color w:val="auto"/>
        </w:rPr>
      </w:pPr>
      <w:r w:rsidRPr="00FF29E1">
        <w:rPr>
          <w:rFonts w:asciiTheme="majorHAnsi" w:hAnsiTheme="majorHAnsi" w:cstheme="majorHAnsi"/>
          <w:color w:val="auto"/>
        </w:rPr>
        <w:t>En relación al girasol, hay que resaltar la baja rentabilidad del cultivo, debido a sus rendimientos limitados y a la volatilidad de los precios, con fuerte competencia del mercado internacional de la soja.</w:t>
      </w:r>
    </w:p>
    <w:p w14:paraId="405A690D" w14:textId="77777777" w:rsidR="00BA0837" w:rsidRPr="00801763" w:rsidRDefault="00BA0837" w:rsidP="00801763">
      <w:pPr>
        <w:pStyle w:val="justificado"/>
        <w:shd w:val="clear" w:color="auto" w:fill="FFFFFF"/>
        <w:spacing w:line="271" w:lineRule="auto"/>
        <w:jc w:val="both"/>
        <w:rPr>
          <w:rFonts w:asciiTheme="majorHAnsi" w:hAnsiTheme="majorHAnsi" w:cstheme="majorHAnsi"/>
          <w:color w:val="auto"/>
        </w:rPr>
      </w:pPr>
    </w:p>
    <w:p w14:paraId="5972170F" w14:textId="77777777" w:rsidR="000E10FE" w:rsidRPr="00B75CB9" w:rsidRDefault="000E10FE" w:rsidP="00B75CB9">
      <w:pPr>
        <w:ind w:firstLine="1021"/>
        <w:rPr>
          <w:rFonts w:asciiTheme="majorHAnsi" w:hAnsiTheme="majorHAnsi" w:cstheme="majorHAnsi"/>
          <w:sz w:val="24"/>
          <w:szCs w:val="24"/>
          <w:u w:val="single"/>
          <w:lang w:val="es-ES"/>
        </w:rPr>
      </w:pPr>
      <w:bookmarkStart w:id="62" w:name="ganadera"/>
      <w:bookmarkEnd w:id="62"/>
      <w:r w:rsidRPr="00B75CB9">
        <w:rPr>
          <w:rFonts w:asciiTheme="majorHAnsi" w:hAnsiTheme="majorHAnsi" w:cstheme="majorHAnsi"/>
          <w:sz w:val="24"/>
          <w:szCs w:val="24"/>
          <w:u w:val="single"/>
          <w:lang w:val="es-ES"/>
        </w:rPr>
        <w:t>La producción ganadera</w:t>
      </w:r>
    </w:p>
    <w:p w14:paraId="73CD85A8" w14:textId="77777777" w:rsidR="000E10FE" w:rsidRPr="00801763" w:rsidRDefault="000E10FE" w:rsidP="00801763">
      <w:pPr>
        <w:spacing w:line="271" w:lineRule="auto"/>
        <w:rPr>
          <w:rFonts w:asciiTheme="majorHAnsi" w:hAnsiTheme="majorHAnsi" w:cstheme="majorHAnsi"/>
          <w:sz w:val="24"/>
          <w:szCs w:val="24"/>
          <w:lang w:val="es-ES"/>
        </w:rPr>
      </w:pPr>
    </w:p>
    <w:p w14:paraId="08EB7B7C"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El valor de la producción ganadera alcanzó en 2015 los 16.264,7 millones de euros, lo que significa el 35,8 % de la producción de la rama de la actividad agraria.</w:t>
      </w:r>
    </w:p>
    <w:p w14:paraId="59BBDAE5"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4CED0024" w14:textId="1C75FF9A"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El primer sector ganadero en España es el de la carne de porcino, que aporta un 35,6% del valor total de la producción ganadera. España es el segundo productor europeo, por detrás de Alemania. Con un censo</w:t>
      </w:r>
      <w:r w:rsidR="00BA0837">
        <w:rPr>
          <w:rFonts w:asciiTheme="majorHAnsi" w:hAnsiTheme="majorHAnsi" w:cstheme="majorHAnsi"/>
          <w:color w:val="auto"/>
        </w:rPr>
        <w:t xml:space="preserve"> de 27,5 millones de animales. Por</w:t>
      </w:r>
      <w:r w:rsidRPr="00801763">
        <w:rPr>
          <w:rFonts w:asciiTheme="majorHAnsi" w:hAnsiTheme="majorHAnsi" w:cstheme="majorHAnsi"/>
          <w:color w:val="auto"/>
        </w:rPr>
        <w:t xml:space="preserve"> primera vez estamos en primer lugar en la Unión Europea por lo que al censo se refiere. Es además el sector más  activo en el comercio internacional, ya que las exportaciones totales españolas de carne de cerdo se han  incrementado hasta alcanzar el 44% de la producción nacional. En los últimos seis años, las exportaciones totales de productos del sector porcino se han incrementado  en más del 100%. En 2015 las exportaciones aumentan un 16% con respecto al año anterior en volumen y un 9% en valor.</w:t>
      </w:r>
    </w:p>
    <w:p w14:paraId="16C976F5"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3B2B327B" w14:textId="7FC09E52"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La producción de leche significó en 2015 el 17,4% de la producción ganadera y con un censo de 855.288 vacas en ordeño.</w:t>
      </w:r>
    </w:p>
    <w:p w14:paraId="1B86B2EB"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033C6484" w14:textId="77777777" w:rsidR="000E10FE"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La carne de vacuno, con un censo en torno a 6 millones de animales, representó  un 16,5% de la producción ganadera en 2015. Le sigue en importancia económica el sector de la carne de aves con un 15,5% en 2015.</w:t>
      </w:r>
    </w:p>
    <w:p w14:paraId="1986C189" w14:textId="77777777" w:rsidR="00801763" w:rsidRPr="00801763" w:rsidRDefault="00801763" w:rsidP="00801763">
      <w:pPr>
        <w:pStyle w:val="justificado"/>
        <w:shd w:val="clear" w:color="auto" w:fill="FFFFFF"/>
        <w:spacing w:line="271" w:lineRule="auto"/>
        <w:jc w:val="both"/>
        <w:rPr>
          <w:rFonts w:asciiTheme="majorHAnsi" w:hAnsiTheme="majorHAnsi" w:cstheme="majorHAnsi"/>
          <w:color w:val="auto"/>
        </w:rPr>
      </w:pPr>
    </w:p>
    <w:p w14:paraId="3EE8C889" w14:textId="0AF6453D"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El sector ovino y caprino, con un censo de 19,5 millones de cabezas (de los que 16,5 millones corresponden al ganado ovino y 3 al caprino), aporta el 6,3% de la producci</w:t>
      </w:r>
      <w:r w:rsidR="00EC0FC3">
        <w:rPr>
          <w:rFonts w:asciiTheme="majorHAnsi" w:hAnsiTheme="majorHAnsi" w:cstheme="majorHAnsi"/>
          <w:color w:val="auto"/>
        </w:rPr>
        <w:t xml:space="preserve">ón ganadera. El sector de los </w:t>
      </w:r>
      <w:r w:rsidR="00EC0FC3" w:rsidRPr="00801763">
        <w:rPr>
          <w:rFonts w:asciiTheme="majorHAnsi" w:hAnsiTheme="majorHAnsi" w:cstheme="majorHAnsi"/>
          <w:color w:val="auto"/>
        </w:rPr>
        <w:t>huevos</w:t>
      </w:r>
      <w:r w:rsidRPr="00801763">
        <w:rPr>
          <w:rFonts w:asciiTheme="majorHAnsi" w:hAnsiTheme="majorHAnsi" w:cstheme="majorHAnsi"/>
          <w:color w:val="auto"/>
        </w:rPr>
        <w:t xml:space="preserve"> supone el 5,8% de dicha producción.</w:t>
      </w:r>
    </w:p>
    <w:p w14:paraId="198A900E"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03620C8A"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El sector apícola, más allá de su interés económico, es imprescindible por su papel en conservación del medio ambiente y en la polinización de los cultivos. La producción de miel en España ascendió a 32.174 toneladas en el año 2014.</w:t>
      </w:r>
    </w:p>
    <w:p w14:paraId="73C522C7"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6387A94D"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Por otra parte, la carne de conejo supone una de las principales producciones dentro de los denominados «sectores menores» de la producción primaria ganadera. Con una producción de 62.727 toneladas en 2015, este sector es un importante factor de desarrollo en las zonas productoras, muy focalizadas en determinados territorios peninsulares.</w:t>
      </w:r>
    </w:p>
    <w:p w14:paraId="6CD4273F"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p>
    <w:p w14:paraId="6676DE64" w14:textId="77777777" w:rsidR="000E10FE" w:rsidRPr="00801763" w:rsidRDefault="000E10FE" w:rsidP="00801763">
      <w:pPr>
        <w:pStyle w:val="justificado"/>
        <w:shd w:val="clear" w:color="auto" w:fill="FFFFFF"/>
        <w:spacing w:line="271" w:lineRule="auto"/>
        <w:jc w:val="both"/>
        <w:rPr>
          <w:rFonts w:asciiTheme="majorHAnsi" w:hAnsiTheme="majorHAnsi" w:cstheme="majorHAnsi"/>
          <w:color w:val="auto"/>
        </w:rPr>
      </w:pPr>
      <w:r w:rsidRPr="00801763">
        <w:rPr>
          <w:rFonts w:asciiTheme="majorHAnsi" w:hAnsiTheme="majorHAnsi" w:cstheme="majorHAnsi"/>
          <w:color w:val="auto"/>
        </w:rPr>
        <w:t>La balanza comercial de los principales productos  ganaderos durante el año 2015 fue positiva en lo que se refiere a carnes y despojos, preparados de carne, huevos, miel y otros productos de origen animal. Por el contrario, fue negativa en el sector de la leche y productos lácteos, si bien ligeramente menos negativa que en 2014.</w:t>
      </w:r>
    </w:p>
    <w:p w14:paraId="21F29EF0" w14:textId="77777777" w:rsidR="000E10FE" w:rsidRDefault="000E10FE" w:rsidP="00801763">
      <w:pPr>
        <w:pStyle w:val="justificado"/>
        <w:shd w:val="clear" w:color="auto" w:fill="FFFFFF"/>
        <w:spacing w:line="271" w:lineRule="auto"/>
        <w:jc w:val="both"/>
        <w:rPr>
          <w:rFonts w:asciiTheme="majorHAnsi" w:hAnsiTheme="majorHAnsi" w:cstheme="majorHAnsi"/>
          <w:color w:val="auto"/>
        </w:rPr>
      </w:pPr>
    </w:p>
    <w:p w14:paraId="41A73522" w14:textId="77777777" w:rsidR="00BA0837" w:rsidRDefault="00BA0837" w:rsidP="00801763">
      <w:pPr>
        <w:pStyle w:val="justificado"/>
        <w:shd w:val="clear" w:color="auto" w:fill="FFFFFF"/>
        <w:spacing w:line="271" w:lineRule="auto"/>
        <w:jc w:val="both"/>
        <w:rPr>
          <w:rFonts w:asciiTheme="majorHAnsi" w:hAnsiTheme="majorHAnsi" w:cstheme="majorHAnsi"/>
          <w:color w:val="auto"/>
        </w:rPr>
      </w:pPr>
    </w:p>
    <w:p w14:paraId="21656670" w14:textId="5C8FFF43" w:rsidR="007849CD" w:rsidRPr="00B75CB9" w:rsidRDefault="00B75CB9" w:rsidP="00B75CB9">
      <w:pPr>
        <w:pStyle w:val="Ttulo2"/>
        <w:rPr>
          <w:rFonts w:asciiTheme="majorHAnsi" w:hAnsiTheme="majorHAnsi" w:cstheme="majorHAnsi"/>
          <w:b w:val="0"/>
        </w:rPr>
      </w:pPr>
      <w:bookmarkStart w:id="63" w:name="_Toc14695469"/>
      <w:r>
        <w:rPr>
          <w:rFonts w:asciiTheme="majorHAnsi" w:hAnsiTheme="majorHAnsi" w:cstheme="majorHAnsi"/>
          <w:b w:val="0"/>
        </w:rPr>
        <w:t>3.2.2</w:t>
      </w:r>
      <w:r w:rsidR="00E72432" w:rsidRPr="00B75CB9">
        <w:rPr>
          <w:rFonts w:asciiTheme="majorHAnsi" w:hAnsiTheme="majorHAnsi" w:cstheme="majorHAnsi"/>
          <w:b w:val="0"/>
        </w:rPr>
        <w:t xml:space="preserve"> </w:t>
      </w:r>
      <w:r w:rsidR="007849CD" w:rsidRPr="00B75CB9">
        <w:rPr>
          <w:rFonts w:asciiTheme="majorHAnsi" w:hAnsiTheme="majorHAnsi" w:cstheme="majorHAnsi"/>
          <w:b w:val="0"/>
        </w:rPr>
        <w:t xml:space="preserve">Sector de la transformación. </w:t>
      </w:r>
      <w:r>
        <w:rPr>
          <w:rFonts w:asciiTheme="majorHAnsi" w:hAnsiTheme="majorHAnsi" w:cstheme="majorHAnsi"/>
          <w:b w:val="0"/>
        </w:rPr>
        <w:t>La industria alimentaria</w:t>
      </w:r>
      <w:bookmarkEnd w:id="63"/>
    </w:p>
    <w:p w14:paraId="6DA7DE5D" w14:textId="77777777" w:rsidR="00801763" w:rsidRDefault="00801763" w:rsidP="00D4710E">
      <w:pPr>
        <w:spacing w:line="276" w:lineRule="auto"/>
        <w:ind w:left="66"/>
        <w:jc w:val="both"/>
        <w:rPr>
          <w:rFonts w:asciiTheme="majorHAnsi" w:hAnsiTheme="majorHAnsi" w:cstheme="majorHAnsi"/>
          <w:sz w:val="24"/>
          <w:szCs w:val="22"/>
        </w:rPr>
      </w:pPr>
    </w:p>
    <w:p w14:paraId="21D6DAEC" w14:textId="77777777" w:rsidR="00D322B1" w:rsidRPr="00BA0837" w:rsidRDefault="00D322B1" w:rsidP="00D4710E">
      <w:pPr>
        <w:spacing w:line="276" w:lineRule="auto"/>
        <w:ind w:left="66"/>
        <w:jc w:val="both"/>
        <w:rPr>
          <w:rFonts w:asciiTheme="majorHAnsi" w:hAnsiTheme="majorHAnsi" w:cstheme="majorHAnsi"/>
          <w:sz w:val="24"/>
          <w:szCs w:val="24"/>
          <w:lang w:val="es-ES"/>
        </w:rPr>
      </w:pPr>
      <w:r w:rsidRPr="00BA0837">
        <w:rPr>
          <w:rFonts w:asciiTheme="majorHAnsi" w:hAnsiTheme="majorHAnsi" w:cstheme="majorHAnsi"/>
          <w:sz w:val="24"/>
          <w:szCs w:val="24"/>
          <w:lang w:val="es-ES"/>
        </w:rPr>
        <w:lastRenderedPageBreak/>
        <w:t>En España, la industria de alimentación y bebidas es la primera rama del sector industrial, según la última Estadística Estructural de Empresas del INE, con 113.593,07 M€ de valor de la producción</w:t>
      </w:r>
      <w:r w:rsidRPr="00BA0837">
        <w:rPr>
          <w:rFonts w:asciiTheme="majorHAnsi" w:hAnsiTheme="majorHAnsi" w:cstheme="majorHAnsi"/>
          <w:sz w:val="24"/>
          <w:szCs w:val="24"/>
          <w:lang w:val="es-ES"/>
        </w:rPr>
        <w:footnoteReference w:id="3"/>
      </w:r>
      <w:r w:rsidRPr="00BA0837">
        <w:rPr>
          <w:rFonts w:asciiTheme="majorHAnsi" w:hAnsiTheme="majorHAnsi" w:cstheme="majorHAnsi"/>
          <w:sz w:val="24"/>
          <w:szCs w:val="24"/>
          <w:lang w:val="es-ES"/>
        </w:rPr>
        <w:t xml:space="preserve"> que representa el 2,5% del PIB (en V.A.B.)</w:t>
      </w:r>
      <w:r w:rsidRPr="00BA0837">
        <w:rPr>
          <w:rFonts w:asciiTheme="majorHAnsi" w:hAnsiTheme="majorHAnsi" w:cstheme="majorHAnsi"/>
          <w:sz w:val="24"/>
          <w:szCs w:val="24"/>
          <w:lang w:val="es-ES"/>
        </w:rPr>
        <w:footnoteReference w:id="4"/>
      </w:r>
      <w:r w:rsidRPr="00BA0837">
        <w:rPr>
          <w:rFonts w:asciiTheme="majorHAnsi" w:hAnsiTheme="majorHAnsi" w:cstheme="majorHAnsi"/>
          <w:sz w:val="24"/>
          <w:szCs w:val="24"/>
          <w:lang w:val="es-ES"/>
        </w:rPr>
        <w:t>, el 24,8% del sector industrial, el 18% de las personas ocupadas y el 15,5% del valor añadido.</w:t>
      </w:r>
    </w:p>
    <w:p w14:paraId="4A994934" w14:textId="77777777" w:rsidR="00D322B1" w:rsidRPr="00BA0837" w:rsidRDefault="00D322B1" w:rsidP="00D4710E">
      <w:pPr>
        <w:spacing w:line="276" w:lineRule="auto"/>
        <w:ind w:left="66"/>
        <w:jc w:val="both"/>
        <w:rPr>
          <w:rFonts w:asciiTheme="majorHAnsi" w:hAnsiTheme="majorHAnsi" w:cstheme="majorHAnsi"/>
          <w:sz w:val="24"/>
          <w:szCs w:val="24"/>
          <w:lang w:val="es-ES"/>
        </w:rPr>
      </w:pPr>
    </w:p>
    <w:p w14:paraId="759A35F1" w14:textId="77777777" w:rsidR="00D322B1" w:rsidRPr="00BA0837" w:rsidRDefault="00D322B1" w:rsidP="00D4710E">
      <w:pPr>
        <w:spacing w:line="276" w:lineRule="auto"/>
        <w:ind w:left="66"/>
        <w:jc w:val="both"/>
        <w:rPr>
          <w:rFonts w:asciiTheme="majorHAnsi" w:hAnsiTheme="majorHAnsi" w:cstheme="majorHAnsi"/>
          <w:sz w:val="24"/>
          <w:szCs w:val="24"/>
          <w:lang w:val="es-ES"/>
        </w:rPr>
      </w:pPr>
      <w:r w:rsidRPr="00BA0837">
        <w:rPr>
          <w:rFonts w:asciiTheme="majorHAnsi" w:hAnsiTheme="majorHAnsi" w:cstheme="majorHAnsi"/>
          <w:sz w:val="24"/>
          <w:szCs w:val="24"/>
          <w:lang w:val="es-ES"/>
        </w:rPr>
        <w:t>El número de empresas</w:t>
      </w:r>
      <w:r w:rsidRPr="00BA0837">
        <w:rPr>
          <w:szCs w:val="24"/>
          <w:lang w:val="es-ES"/>
        </w:rPr>
        <w:footnoteReference w:id="5"/>
      </w:r>
      <w:r w:rsidRPr="00BA0837">
        <w:rPr>
          <w:rFonts w:asciiTheme="majorHAnsi" w:hAnsiTheme="majorHAnsi" w:cstheme="majorHAnsi"/>
          <w:sz w:val="24"/>
          <w:szCs w:val="24"/>
          <w:lang w:val="es-ES"/>
        </w:rPr>
        <w:t xml:space="preserve"> de la industria de alimentación y bebidas asciende a 31.342, según los últimos datos del Directorio Central de Empresas del INE, lo que representa el 15,1% de toda la industria manufacturera. </w:t>
      </w:r>
    </w:p>
    <w:p w14:paraId="38144787" w14:textId="77777777" w:rsidR="00D322B1" w:rsidRPr="00BA0837" w:rsidRDefault="00D322B1" w:rsidP="00D4710E">
      <w:pPr>
        <w:spacing w:line="276" w:lineRule="auto"/>
        <w:ind w:left="66"/>
        <w:jc w:val="both"/>
        <w:rPr>
          <w:rFonts w:asciiTheme="majorHAnsi" w:hAnsiTheme="majorHAnsi" w:cstheme="majorHAnsi"/>
          <w:sz w:val="24"/>
          <w:szCs w:val="24"/>
          <w:lang w:val="es-ES"/>
        </w:rPr>
      </w:pPr>
    </w:p>
    <w:p w14:paraId="7D08CBF3" w14:textId="77777777" w:rsidR="00D322B1" w:rsidRPr="00BA0837" w:rsidRDefault="00D322B1" w:rsidP="00D4710E">
      <w:pPr>
        <w:spacing w:line="276" w:lineRule="auto"/>
        <w:ind w:left="66"/>
        <w:jc w:val="both"/>
        <w:rPr>
          <w:rFonts w:asciiTheme="majorHAnsi" w:hAnsiTheme="majorHAnsi" w:cstheme="majorHAnsi"/>
          <w:sz w:val="24"/>
          <w:szCs w:val="24"/>
          <w:lang w:val="es-ES"/>
        </w:rPr>
      </w:pPr>
      <w:r w:rsidRPr="00BA0837">
        <w:rPr>
          <w:rFonts w:asciiTheme="majorHAnsi" w:hAnsiTheme="majorHAnsi" w:cstheme="majorHAnsi"/>
          <w:sz w:val="24"/>
          <w:szCs w:val="24"/>
          <w:lang w:val="es-ES"/>
        </w:rPr>
        <w:t>El 96,5% de ellas son empresas con menos de 50 empleados (30.222) y el 79,8% cuentan con menos de 10 empleados (24.989).</w:t>
      </w:r>
    </w:p>
    <w:p w14:paraId="5C0A8580" w14:textId="77777777" w:rsidR="00801763" w:rsidRDefault="00801763" w:rsidP="00D4710E">
      <w:pPr>
        <w:spacing w:line="276" w:lineRule="auto"/>
        <w:ind w:left="66"/>
        <w:jc w:val="both"/>
        <w:rPr>
          <w:rFonts w:asciiTheme="majorHAnsi" w:hAnsiTheme="majorHAnsi" w:cstheme="majorHAnsi"/>
          <w:sz w:val="24"/>
          <w:szCs w:val="22"/>
          <w:lang w:eastAsia="es-ES_tradnl"/>
        </w:rPr>
      </w:pPr>
    </w:p>
    <w:p w14:paraId="5585152C" w14:textId="77777777" w:rsidR="00D322B1" w:rsidRPr="00DA3DAF" w:rsidRDefault="00D322B1" w:rsidP="00D4710E">
      <w:pPr>
        <w:spacing w:line="276" w:lineRule="auto"/>
        <w:ind w:right="-46"/>
        <w:jc w:val="both"/>
        <w:rPr>
          <w:rFonts w:ascii="Arial" w:hAnsi="Arial" w:cs="Arial"/>
          <w:color w:val="5B9BD5" w:themeColor="accent1"/>
          <w:sz w:val="22"/>
          <w:szCs w:val="22"/>
        </w:rPr>
      </w:pPr>
    </w:p>
    <w:tbl>
      <w:tblPr>
        <w:tblW w:w="822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26"/>
        <w:gridCol w:w="1275"/>
        <w:gridCol w:w="851"/>
        <w:gridCol w:w="850"/>
        <w:gridCol w:w="851"/>
        <w:gridCol w:w="992"/>
        <w:gridCol w:w="709"/>
        <w:gridCol w:w="709"/>
      </w:tblGrid>
      <w:tr w:rsidR="00D322B1" w:rsidRPr="00CB4C41" w14:paraId="683CD514" w14:textId="77777777" w:rsidTr="00D322B1">
        <w:trPr>
          <w:cantSplit/>
          <w:trHeight w:val="471"/>
        </w:trPr>
        <w:tc>
          <w:tcPr>
            <w:tcW w:w="8222" w:type="dxa"/>
            <w:gridSpan w:val="9"/>
            <w:tcBorders>
              <w:top w:val="nil"/>
              <w:left w:val="nil"/>
              <w:right w:val="nil"/>
            </w:tcBorders>
            <w:shd w:val="clear" w:color="auto" w:fill="FFFF99"/>
            <w:vAlign w:val="center"/>
          </w:tcPr>
          <w:p w14:paraId="6D8A2866" w14:textId="77777777" w:rsidR="00D322B1" w:rsidRPr="00CB4C41" w:rsidRDefault="00D322B1" w:rsidP="00D4710E">
            <w:pPr>
              <w:spacing w:before="60" w:line="276" w:lineRule="auto"/>
              <w:jc w:val="center"/>
              <w:rPr>
                <w:rFonts w:ascii="Arial" w:hAnsi="Arial" w:cs="Arial"/>
                <w:b/>
                <w:sz w:val="18"/>
                <w:szCs w:val="18"/>
              </w:rPr>
            </w:pPr>
            <w:r w:rsidRPr="00A533A6">
              <w:rPr>
                <w:rFonts w:ascii="Arial" w:hAnsi="Arial" w:cs="Arial"/>
                <w:b/>
                <w:sz w:val="18"/>
                <w:szCs w:val="18"/>
              </w:rPr>
              <w:t>NÚMERO DE EMPRESAS POR ESTRATO</w:t>
            </w:r>
            <w:r w:rsidRPr="00CB4C41">
              <w:rPr>
                <w:rFonts w:ascii="Arial" w:hAnsi="Arial" w:cs="Arial"/>
                <w:b/>
                <w:sz w:val="18"/>
                <w:szCs w:val="18"/>
              </w:rPr>
              <w:t xml:space="preserve"> DE ASALARIADOS</w:t>
            </w:r>
            <w:r w:rsidRPr="00A533A6">
              <w:rPr>
                <w:rStyle w:val="Refdenotaalpie"/>
                <w:rFonts w:ascii="Arial" w:hAnsi="Arial" w:cs="Arial"/>
                <w:b/>
                <w:sz w:val="18"/>
                <w:szCs w:val="18"/>
              </w:rPr>
              <w:footnoteReference w:id="6"/>
            </w:r>
          </w:p>
        </w:tc>
      </w:tr>
      <w:tr w:rsidR="00D322B1" w:rsidRPr="00CB4C41" w14:paraId="0410476C" w14:textId="77777777" w:rsidTr="00D322B1">
        <w:trPr>
          <w:cantSplit/>
          <w:trHeight w:val="357"/>
        </w:trPr>
        <w:tc>
          <w:tcPr>
            <w:tcW w:w="1985" w:type="dxa"/>
            <w:gridSpan w:val="2"/>
            <w:vMerge w:val="restart"/>
            <w:shd w:val="clear" w:color="auto" w:fill="CCFFFF"/>
            <w:vAlign w:val="center"/>
          </w:tcPr>
          <w:p w14:paraId="00C73C35" w14:textId="77777777" w:rsidR="00D322B1" w:rsidRPr="00CB4C41" w:rsidRDefault="00D322B1" w:rsidP="00D4710E">
            <w:pPr>
              <w:spacing w:before="60" w:line="276" w:lineRule="auto"/>
              <w:jc w:val="center"/>
              <w:rPr>
                <w:rFonts w:ascii="Arial" w:hAnsi="Arial" w:cs="Arial"/>
                <w:b/>
                <w:sz w:val="18"/>
                <w:szCs w:val="18"/>
              </w:rPr>
            </w:pPr>
            <w:r w:rsidRPr="00A533A6">
              <w:rPr>
                <w:rFonts w:ascii="Arial" w:hAnsi="Arial" w:cs="Arial"/>
                <w:b/>
                <w:sz w:val="18"/>
                <w:szCs w:val="18"/>
              </w:rPr>
              <w:t xml:space="preserve">DISTRIBUCION </w:t>
            </w:r>
          </w:p>
          <w:p w14:paraId="765D6BDB" w14:textId="77777777" w:rsidR="00D322B1" w:rsidRPr="00CB4C41" w:rsidRDefault="00D322B1" w:rsidP="00D4710E">
            <w:pPr>
              <w:spacing w:before="60" w:line="276" w:lineRule="auto"/>
              <w:jc w:val="center"/>
              <w:rPr>
                <w:rFonts w:ascii="Arial" w:hAnsi="Arial" w:cs="Arial"/>
                <w:b/>
                <w:sz w:val="18"/>
                <w:szCs w:val="18"/>
              </w:rPr>
            </w:pPr>
            <w:r w:rsidRPr="00CB4C41">
              <w:rPr>
                <w:rFonts w:ascii="Arial" w:hAnsi="Arial" w:cs="Arial"/>
                <w:b/>
                <w:sz w:val="18"/>
                <w:szCs w:val="18"/>
              </w:rPr>
              <w:t>EMPRESAS</w:t>
            </w:r>
          </w:p>
        </w:tc>
        <w:tc>
          <w:tcPr>
            <w:tcW w:w="6237" w:type="dxa"/>
            <w:gridSpan w:val="7"/>
            <w:shd w:val="clear" w:color="auto" w:fill="CCFFFF"/>
            <w:vAlign w:val="center"/>
          </w:tcPr>
          <w:p w14:paraId="78FFB002" w14:textId="77777777" w:rsidR="00D322B1" w:rsidRPr="00CB4C41" w:rsidRDefault="00D322B1" w:rsidP="00D4710E">
            <w:pPr>
              <w:spacing w:line="276" w:lineRule="auto"/>
              <w:jc w:val="center"/>
              <w:rPr>
                <w:rFonts w:ascii="Arial" w:hAnsi="Arial" w:cs="Arial"/>
                <w:b/>
                <w:sz w:val="18"/>
                <w:szCs w:val="18"/>
              </w:rPr>
            </w:pPr>
            <w:r w:rsidRPr="00CB4C41">
              <w:rPr>
                <w:rFonts w:ascii="Arial" w:hAnsi="Arial" w:cs="Arial"/>
                <w:b/>
                <w:sz w:val="18"/>
                <w:szCs w:val="18"/>
              </w:rPr>
              <w:t>ASALARIADOS</w:t>
            </w:r>
          </w:p>
        </w:tc>
      </w:tr>
      <w:tr w:rsidR="00D322B1" w:rsidRPr="00CB4C41" w14:paraId="4E84DCE4" w14:textId="77777777" w:rsidTr="00D322B1">
        <w:trPr>
          <w:cantSplit/>
          <w:trHeight w:val="441"/>
        </w:trPr>
        <w:tc>
          <w:tcPr>
            <w:tcW w:w="1985" w:type="dxa"/>
            <w:gridSpan w:val="2"/>
            <w:vMerge/>
            <w:tcBorders>
              <w:top w:val="nil"/>
            </w:tcBorders>
            <w:shd w:val="clear" w:color="auto" w:fill="CCFFFF"/>
          </w:tcPr>
          <w:p w14:paraId="7F90B619" w14:textId="77777777" w:rsidR="00D322B1" w:rsidRPr="00CB4C41" w:rsidRDefault="00D322B1" w:rsidP="00D4710E">
            <w:pPr>
              <w:spacing w:line="276" w:lineRule="auto"/>
              <w:jc w:val="center"/>
              <w:rPr>
                <w:rFonts w:ascii="Arial" w:hAnsi="Arial" w:cs="Arial"/>
                <w:sz w:val="18"/>
                <w:szCs w:val="18"/>
              </w:rPr>
            </w:pPr>
          </w:p>
        </w:tc>
        <w:tc>
          <w:tcPr>
            <w:tcW w:w="1275" w:type="dxa"/>
            <w:shd w:val="clear" w:color="auto" w:fill="CCFFFF"/>
            <w:vAlign w:val="center"/>
          </w:tcPr>
          <w:p w14:paraId="6DA6E24D"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Sin asalariados</w:t>
            </w:r>
          </w:p>
        </w:tc>
        <w:tc>
          <w:tcPr>
            <w:tcW w:w="851" w:type="dxa"/>
            <w:shd w:val="clear" w:color="auto" w:fill="CCFFFF"/>
            <w:vAlign w:val="center"/>
          </w:tcPr>
          <w:p w14:paraId="3644A2AD"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De 1-9</w:t>
            </w:r>
          </w:p>
        </w:tc>
        <w:tc>
          <w:tcPr>
            <w:tcW w:w="850" w:type="dxa"/>
            <w:shd w:val="clear" w:color="auto" w:fill="CCFFFF"/>
            <w:vAlign w:val="center"/>
          </w:tcPr>
          <w:p w14:paraId="0221A6AF"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De 10-49</w:t>
            </w:r>
          </w:p>
        </w:tc>
        <w:tc>
          <w:tcPr>
            <w:tcW w:w="851" w:type="dxa"/>
            <w:shd w:val="clear" w:color="auto" w:fill="CCFFFF"/>
            <w:vAlign w:val="center"/>
          </w:tcPr>
          <w:p w14:paraId="60044743"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De 50-199</w:t>
            </w:r>
          </w:p>
        </w:tc>
        <w:tc>
          <w:tcPr>
            <w:tcW w:w="992" w:type="dxa"/>
            <w:shd w:val="clear" w:color="auto" w:fill="CCFFFF"/>
            <w:vAlign w:val="center"/>
          </w:tcPr>
          <w:p w14:paraId="1F2EBE52"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De 200-499</w:t>
            </w:r>
          </w:p>
        </w:tc>
        <w:tc>
          <w:tcPr>
            <w:tcW w:w="709" w:type="dxa"/>
            <w:shd w:val="clear" w:color="auto" w:fill="CCFFFF"/>
            <w:vAlign w:val="center"/>
          </w:tcPr>
          <w:p w14:paraId="5F480643" w14:textId="77777777" w:rsidR="00D322B1" w:rsidRPr="00CB4C41" w:rsidRDefault="00D322B1" w:rsidP="00D4710E">
            <w:pPr>
              <w:spacing w:before="120" w:line="276" w:lineRule="auto"/>
              <w:jc w:val="center"/>
              <w:rPr>
                <w:rFonts w:ascii="Arial" w:hAnsi="Arial" w:cs="Arial"/>
                <w:b/>
                <w:sz w:val="18"/>
                <w:szCs w:val="18"/>
              </w:rPr>
            </w:pPr>
            <w:r w:rsidRPr="00CB4C41">
              <w:rPr>
                <w:rFonts w:ascii="Arial" w:hAnsi="Arial" w:cs="Arial"/>
                <w:b/>
                <w:sz w:val="18"/>
                <w:szCs w:val="18"/>
              </w:rPr>
              <w:t>500 y más</w:t>
            </w:r>
          </w:p>
        </w:tc>
        <w:tc>
          <w:tcPr>
            <w:tcW w:w="709" w:type="dxa"/>
            <w:shd w:val="clear" w:color="auto" w:fill="CCFFFF"/>
            <w:vAlign w:val="center"/>
          </w:tcPr>
          <w:p w14:paraId="69251433" w14:textId="77777777" w:rsidR="00D322B1" w:rsidRPr="00CB4C41" w:rsidRDefault="00D322B1" w:rsidP="00D4710E">
            <w:pPr>
              <w:spacing w:before="120" w:after="120" w:line="276" w:lineRule="auto"/>
              <w:jc w:val="center"/>
              <w:rPr>
                <w:rFonts w:ascii="Arial" w:hAnsi="Arial" w:cs="Arial"/>
                <w:b/>
                <w:sz w:val="18"/>
                <w:szCs w:val="18"/>
              </w:rPr>
            </w:pPr>
            <w:r w:rsidRPr="00CB4C41">
              <w:rPr>
                <w:rFonts w:ascii="Arial" w:hAnsi="Arial" w:cs="Arial"/>
                <w:b/>
                <w:sz w:val="18"/>
                <w:szCs w:val="18"/>
              </w:rPr>
              <w:t>Total</w:t>
            </w:r>
          </w:p>
        </w:tc>
      </w:tr>
      <w:tr w:rsidR="00D322B1" w:rsidRPr="00CB4C41" w14:paraId="64675190" w14:textId="77777777" w:rsidTr="00D322B1">
        <w:trPr>
          <w:cantSplit/>
          <w:trHeight w:val="404"/>
        </w:trPr>
        <w:tc>
          <w:tcPr>
            <w:tcW w:w="1559" w:type="dxa"/>
            <w:vMerge w:val="restart"/>
            <w:vAlign w:val="center"/>
          </w:tcPr>
          <w:p w14:paraId="5A1AF40A" w14:textId="77777777" w:rsidR="00D322B1" w:rsidRPr="00CB4C41" w:rsidRDefault="00D322B1" w:rsidP="00D4710E">
            <w:pPr>
              <w:tabs>
                <w:tab w:val="left" w:pos="1168"/>
              </w:tabs>
              <w:spacing w:before="60" w:after="60" w:line="276" w:lineRule="auto"/>
              <w:jc w:val="center"/>
              <w:rPr>
                <w:rFonts w:ascii="Arial" w:hAnsi="Arial" w:cs="Arial"/>
                <w:b/>
                <w:smallCaps/>
                <w:sz w:val="18"/>
                <w:szCs w:val="18"/>
              </w:rPr>
            </w:pPr>
            <w:r w:rsidRPr="00A533A6">
              <w:rPr>
                <w:rFonts w:ascii="Arial" w:hAnsi="Arial" w:cs="Arial"/>
                <w:b/>
                <w:sz w:val="18"/>
                <w:szCs w:val="18"/>
              </w:rPr>
              <w:t>Total industria alimentaria</w:t>
            </w:r>
          </w:p>
        </w:tc>
        <w:tc>
          <w:tcPr>
            <w:tcW w:w="426" w:type="dxa"/>
            <w:vAlign w:val="center"/>
          </w:tcPr>
          <w:p w14:paraId="5710FBF9" w14:textId="77777777" w:rsidR="00D322B1" w:rsidRPr="00CB4C41" w:rsidRDefault="00D322B1" w:rsidP="00D4710E">
            <w:pPr>
              <w:spacing w:beforeLines="30" w:before="72" w:afterLines="30" w:after="72" w:line="276" w:lineRule="auto"/>
              <w:rPr>
                <w:rFonts w:ascii="Arial" w:hAnsi="Arial" w:cs="Arial"/>
                <w:b/>
                <w:sz w:val="18"/>
                <w:szCs w:val="18"/>
              </w:rPr>
            </w:pPr>
            <w:r w:rsidRPr="00CB4C41">
              <w:rPr>
                <w:rFonts w:ascii="Arial" w:hAnsi="Arial" w:cs="Arial"/>
                <w:b/>
                <w:sz w:val="18"/>
                <w:szCs w:val="18"/>
              </w:rPr>
              <w:t>Nº</w:t>
            </w:r>
          </w:p>
        </w:tc>
        <w:tc>
          <w:tcPr>
            <w:tcW w:w="1275" w:type="dxa"/>
            <w:vAlign w:val="center"/>
          </w:tcPr>
          <w:p w14:paraId="419F5F37"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7.071</w:t>
            </w:r>
          </w:p>
        </w:tc>
        <w:tc>
          <w:tcPr>
            <w:tcW w:w="851" w:type="dxa"/>
            <w:vAlign w:val="center"/>
          </w:tcPr>
          <w:p w14:paraId="1A14A011"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17.918</w:t>
            </w:r>
          </w:p>
        </w:tc>
        <w:tc>
          <w:tcPr>
            <w:tcW w:w="850" w:type="dxa"/>
            <w:vAlign w:val="center"/>
          </w:tcPr>
          <w:p w14:paraId="244D72E9"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5.233</w:t>
            </w:r>
          </w:p>
        </w:tc>
        <w:tc>
          <w:tcPr>
            <w:tcW w:w="851" w:type="dxa"/>
            <w:vAlign w:val="center"/>
          </w:tcPr>
          <w:p w14:paraId="4A3E1A1A"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855</w:t>
            </w:r>
          </w:p>
        </w:tc>
        <w:tc>
          <w:tcPr>
            <w:tcW w:w="992" w:type="dxa"/>
            <w:vAlign w:val="center"/>
          </w:tcPr>
          <w:p w14:paraId="4B7C3FE5"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192</w:t>
            </w:r>
          </w:p>
        </w:tc>
        <w:tc>
          <w:tcPr>
            <w:tcW w:w="709" w:type="dxa"/>
            <w:vAlign w:val="center"/>
          </w:tcPr>
          <w:p w14:paraId="78AC15F8"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73</w:t>
            </w:r>
          </w:p>
        </w:tc>
        <w:tc>
          <w:tcPr>
            <w:tcW w:w="709" w:type="dxa"/>
            <w:vAlign w:val="center"/>
          </w:tcPr>
          <w:p w14:paraId="7CD3CCDE"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31.342</w:t>
            </w:r>
          </w:p>
        </w:tc>
      </w:tr>
      <w:tr w:rsidR="00D322B1" w:rsidRPr="00CB4C41" w14:paraId="6A59D179" w14:textId="77777777" w:rsidTr="00D322B1">
        <w:trPr>
          <w:cantSplit/>
          <w:trHeight w:val="234"/>
        </w:trPr>
        <w:tc>
          <w:tcPr>
            <w:tcW w:w="1559" w:type="dxa"/>
            <w:vMerge/>
            <w:vAlign w:val="center"/>
          </w:tcPr>
          <w:p w14:paraId="6AB0F753" w14:textId="77777777" w:rsidR="00D322B1" w:rsidRPr="00CB4C41" w:rsidRDefault="00D322B1" w:rsidP="00D4710E">
            <w:pPr>
              <w:spacing w:after="120" w:line="276" w:lineRule="auto"/>
              <w:jc w:val="center"/>
              <w:rPr>
                <w:rFonts w:ascii="Arial" w:hAnsi="Arial" w:cs="Arial"/>
                <w:b/>
                <w:smallCaps/>
                <w:sz w:val="18"/>
                <w:szCs w:val="18"/>
              </w:rPr>
            </w:pPr>
          </w:p>
        </w:tc>
        <w:tc>
          <w:tcPr>
            <w:tcW w:w="426" w:type="dxa"/>
            <w:vAlign w:val="center"/>
          </w:tcPr>
          <w:p w14:paraId="220D0837" w14:textId="77777777" w:rsidR="00D322B1" w:rsidRPr="00CB4C41" w:rsidRDefault="00D322B1" w:rsidP="00D4710E">
            <w:pPr>
              <w:spacing w:beforeLines="30" w:before="72" w:afterLines="30" w:after="72" w:line="276" w:lineRule="auto"/>
              <w:rPr>
                <w:rFonts w:ascii="Arial" w:hAnsi="Arial" w:cs="Arial"/>
                <w:b/>
                <w:sz w:val="18"/>
                <w:szCs w:val="18"/>
              </w:rPr>
            </w:pPr>
            <w:r w:rsidRPr="00CB4C41">
              <w:rPr>
                <w:rFonts w:ascii="Arial" w:hAnsi="Arial" w:cs="Arial"/>
                <w:b/>
                <w:sz w:val="18"/>
                <w:szCs w:val="18"/>
              </w:rPr>
              <w:t>%</w:t>
            </w:r>
          </w:p>
        </w:tc>
        <w:tc>
          <w:tcPr>
            <w:tcW w:w="1275" w:type="dxa"/>
            <w:vAlign w:val="center"/>
          </w:tcPr>
          <w:p w14:paraId="6900F062"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22,6</w:t>
            </w:r>
          </w:p>
        </w:tc>
        <w:tc>
          <w:tcPr>
            <w:tcW w:w="851" w:type="dxa"/>
            <w:vAlign w:val="center"/>
          </w:tcPr>
          <w:p w14:paraId="6412C79A"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57,2</w:t>
            </w:r>
          </w:p>
        </w:tc>
        <w:tc>
          <w:tcPr>
            <w:tcW w:w="850" w:type="dxa"/>
            <w:vAlign w:val="center"/>
          </w:tcPr>
          <w:p w14:paraId="3F803D48"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16,7</w:t>
            </w:r>
          </w:p>
        </w:tc>
        <w:tc>
          <w:tcPr>
            <w:tcW w:w="851" w:type="dxa"/>
            <w:vAlign w:val="center"/>
          </w:tcPr>
          <w:p w14:paraId="35BBC0EF"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2,7</w:t>
            </w:r>
          </w:p>
        </w:tc>
        <w:tc>
          <w:tcPr>
            <w:tcW w:w="992" w:type="dxa"/>
            <w:vAlign w:val="center"/>
          </w:tcPr>
          <w:p w14:paraId="7EE55920"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0,6</w:t>
            </w:r>
          </w:p>
        </w:tc>
        <w:tc>
          <w:tcPr>
            <w:tcW w:w="709" w:type="dxa"/>
            <w:vAlign w:val="center"/>
          </w:tcPr>
          <w:p w14:paraId="3F992BB1"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0,2</w:t>
            </w:r>
          </w:p>
        </w:tc>
        <w:tc>
          <w:tcPr>
            <w:tcW w:w="709" w:type="dxa"/>
            <w:vAlign w:val="center"/>
          </w:tcPr>
          <w:p w14:paraId="722E03EF" w14:textId="77777777" w:rsidR="00D322B1" w:rsidRPr="00CB4C41" w:rsidRDefault="00D322B1" w:rsidP="00D4710E">
            <w:pPr>
              <w:spacing w:line="276" w:lineRule="auto"/>
              <w:ind w:right="33"/>
              <w:jc w:val="center"/>
              <w:rPr>
                <w:rFonts w:ascii="Arial" w:hAnsi="Arial" w:cs="Arial"/>
                <w:sz w:val="18"/>
                <w:szCs w:val="18"/>
              </w:rPr>
            </w:pPr>
            <w:r w:rsidRPr="00CB4C41">
              <w:rPr>
                <w:rFonts w:ascii="Arial" w:hAnsi="Arial" w:cs="Arial"/>
                <w:sz w:val="18"/>
                <w:szCs w:val="18"/>
              </w:rPr>
              <w:t>100</w:t>
            </w:r>
          </w:p>
        </w:tc>
      </w:tr>
    </w:tbl>
    <w:p w14:paraId="12C5ED4B" w14:textId="77777777" w:rsidR="00D322B1" w:rsidRPr="00D322B1" w:rsidRDefault="00D322B1" w:rsidP="00D4710E">
      <w:pPr>
        <w:spacing w:line="276" w:lineRule="auto"/>
        <w:ind w:right="-46"/>
        <w:jc w:val="both"/>
        <w:rPr>
          <w:rFonts w:asciiTheme="majorHAnsi" w:hAnsiTheme="majorHAnsi" w:cstheme="majorHAnsi"/>
          <w:szCs w:val="18"/>
        </w:rPr>
      </w:pPr>
    </w:p>
    <w:p w14:paraId="4E2D2405" w14:textId="77777777" w:rsidR="00D322B1" w:rsidRPr="00D322B1" w:rsidRDefault="00D322B1" w:rsidP="00D4710E">
      <w:pPr>
        <w:spacing w:line="276" w:lineRule="auto"/>
        <w:ind w:right="-46"/>
        <w:jc w:val="both"/>
        <w:rPr>
          <w:rFonts w:asciiTheme="majorHAnsi" w:hAnsiTheme="majorHAnsi" w:cstheme="majorHAnsi"/>
          <w:sz w:val="24"/>
          <w:szCs w:val="22"/>
        </w:rPr>
      </w:pPr>
      <w:r w:rsidRPr="00D322B1">
        <w:rPr>
          <w:rFonts w:asciiTheme="majorHAnsi" w:hAnsiTheme="majorHAnsi" w:cstheme="majorHAnsi"/>
          <w:sz w:val="24"/>
          <w:szCs w:val="22"/>
        </w:rPr>
        <w:t xml:space="preserve">Si consideramos el número de empresas por subsectores, el que ocupa la 1ª posición es Panadería y pastas alimenticias con 11.788 empresas (37,6%), seguido de Fabricación de bebidas (17,8%) e Industria cárnica (12,4%). </w:t>
      </w:r>
    </w:p>
    <w:p w14:paraId="34CBC27D" w14:textId="77777777" w:rsidR="00D322B1" w:rsidRPr="00D322B1" w:rsidRDefault="00D322B1" w:rsidP="00D4710E">
      <w:pPr>
        <w:spacing w:line="276" w:lineRule="auto"/>
        <w:ind w:right="-46"/>
        <w:jc w:val="both"/>
        <w:rPr>
          <w:rFonts w:asciiTheme="majorHAnsi" w:hAnsiTheme="majorHAnsi" w:cstheme="majorHAnsi"/>
          <w:szCs w:val="18"/>
        </w:rPr>
      </w:pPr>
    </w:p>
    <w:p w14:paraId="07F0F3C1" w14:textId="77777777" w:rsidR="00D322B1" w:rsidRPr="00CB4C41" w:rsidRDefault="00D322B1" w:rsidP="00D4710E">
      <w:pPr>
        <w:spacing w:line="276" w:lineRule="auto"/>
        <w:ind w:right="-46"/>
        <w:jc w:val="both"/>
        <w:rPr>
          <w:rFonts w:ascii="Arial" w:hAnsi="Arial" w:cs="Arial"/>
          <w:sz w:val="18"/>
          <w:szCs w:val="18"/>
        </w:rPr>
      </w:pPr>
      <w:r w:rsidRPr="00CB4C41">
        <w:rPr>
          <w:rFonts w:ascii="Arial" w:hAnsi="Arial" w:cs="Arial"/>
          <w:noProof/>
          <w:sz w:val="18"/>
          <w:szCs w:val="18"/>
          <w:lang w:val="es-ES"/>
        </w:rPr>
        <w:lastRenderedPageBreak/>
        <w:drawing>
          <wp:inline distT="0" distB="0" distL="0" distR="0" wp14:anchorId="4C093CA1" wp14:editId="1967B9E4">
            <wp:extent cx="5323760" cy="2578735"/>
            <wp:effectExtent l="0" t="0" r="0" b="0"/>
            <wp:docPr id="2955" name="Imagen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0226" cy="2591555"/>
                    </a:xfrm>
                    <a:prstGeom prst="rect">
                      <a:avLst/>
                    </a:prstGeom>
                    <a:noFill/>
                    <a:ln>
                      <a:noFill/>
                    </a:ln>
                  </pic:spPr>
                </pic:pic>
              </a:graphicData>
            </a:graphic>
          </wp:inline>
        </w:drawing>
      </w:r>
    </w:p>
    <w:p w14:paraId="1429F841" w14:textId="77777777" w:rsidR="00D322B1" w:rsidRPr="00C5604C" w:rsidRDefault="00D322B1" w:rsidP="00D4710E">
      <w:pPr>
        <w:spacing w:line="276" w:lineRule="auto"/>
        <w:ind w:right="-46"/>
        <w:jc w:val="both"/>
        <w:rPr>
          <w:rFonts w:ascii="Arial" w:hAnsi="Arial" w:cs="Arial"/>
          <w:sz w:val="18"/>
          <w:szCs w:val="18"/>
        </w:rPr>
      </w:pPr>
    </w:p>
    <w:p w14:paraId="20AFC187" w14:textId="4C254C32" w:rsidR="00D322B1" w:rsidRPr="00D322B1" w:rsidRDefault="00D322B1" w:rsidP="00D4710E">
      <w:pPr>
        <w:spacing w:line="276" w:lineRule="auto"/>
        <w:ind w:right="-46"/>
        <w:jc w:val="both"/>
        <w:rPr>
          <w:rFonts w:asciiTheme="majorHAnsi" w:hAnsiTheme="majorHAnsi" w:cstheme="majorHAnsi"/>
          <w:sz w:val="24"/>
          <w:szCs w:val="22"/>
        </w:rPr>
      </w:pPr>
      <w:r w:rsidRPr="00D322B1">
        <w:rPr>
          <w:rFonts w:asciiTheme="majorHAnsi" w:hAnsiTheme="majorHAnsi" w:cstheme="majorHAnsi"/>
          <w:sz w:val="24"/>
          <w:szCs w:val="22"/>
        </w:rPr>
        <w:t>El número de ocupados</w:t>
      </w:r>
      <w:r w:rsidRPr="00D322B1">
        <w:rPr>
          <w:rFonts w:asciiTheme="majorHAnsi" w:hAnsiTheme="majorHAnsi" w:cstheme="majorHAnsi"/>
          <w:sz w:val="24"/>
          <w:szCs w:val="22"/>
          <w:vertAlign w:val="superscript"/>
          <w:lang w:eastAsia="es-ES_tradnl"/>
        </w:rPr>
        <w:footnoteReference w:id="7"/>
      </w:r>
      <w:r w:rsidRPr="00D322B1">
        <w:rPr>
          <w:rFonts w:asciiTheme="majorHAnsi" w:hAnsiTheme="majorHAnsi" w:cstheme="majorHAnsi"/>
          <w:sz w:val="24"/>
          <w:szCs w:val="22"/>
        </w:rPr>
        <w:t xml:space="preserve"> en la industria de alimentación, bebidas y tabaco asciende a 496</w:t>
      </w:r>
      <w:r w:rsidRPr="00D322B1">
        <w:rPr>
          <w:rFonts w:asciiTheme="majorHAnsi" w:hAnsiTheme="majorHAnsi" w:cstheme="majorHAnsi"/>
          <w:sz w:val="24"/>
          <w:szCs w:val="22"/>
          <w:lang w:eastAsia="es-ES_tradnl"/>
        </w:rPr>
        <w:t>.200 personas, c</w:t>
      </w:r>
      <w:r w:rsidRPr="00D322B1">
        <w:rPr>
          <w:rFonts w:asciiTheme="majorHAnsi" w:hAnsiTheme="majorHAnsi" w:cstheme="majorHAnsi"/>
          <w:sz w:val="24"/>
          <w:szCs w:val="22"/>
        </w:rPr>
        <w:t>on una tasa de empleo femenino (36,5%), superior al resto de la industria manufacturera (27,3%), y joven, superior al del resto de la economía.</w:t>
      </w:r>
    </w:p>
    <w:p w14:paraId="48420CCF" w14:textId="688EDF9C" w:rsidR="00D322B1" w:rsidRDefault="00D322B1" w:rsidP="00D4710E">
      <w:pPr>
        <w:autoSpaceDE w:val="0"/>
        <w:autoSpaceDN w:val="0"/>
        <w:adjustRightInd w:val="0"/>
        <w:spacing w:line="276" w:lineRule="auto"/>
        <w:jc w:val="both"/>
        <w:rPr>
          <w:rFonts w:asciiTheme="majorHAnsi" w:hAnsiTheme="majorHAnsi" w:cstheme="majorHAnsi"/>
          <w:sz w:val="24"/>
          <w:szCs w:val="22"/>
        </w:rPr>
      </w:pPr>
      <w:r w:rsidRPr="00D322B1">
        <w:rPr>
          <w:rFonts w:asciiTheme="majorHAnsi" w:hAnsiTheme="majorHAnsi" w:cstheme="majorHAnsi"/>
          <w:sz w:val="24"/>
          <w:szCs w:val="22"/>
        </w:rPr>
        <w:t>En relación al número de ocupados los principales subsectores fueron Industria cárnica con un 23,9%, seguido por Panadería y pastas alimenticias (21,4%), Otros productos alimenticios (13,1%) y Fabricación de bebidas (12,8%).</w:t>
      </w:r>
    </w:p>
    <w:p w14:paraId="19C66D54" w14:textId="77777777" w:rsidR="00801763" w:rsidRPr="00D322B1" w:rsidRDefault="00801763" w:rsidP="00D4710E">
      <w:pPr>
        <w:autoSpaceDE w:val="0"/>
        <w:autoSpaceDN w:val="0"/>
        <w:adjustRightInd w:val="0"/>
        <w:spacing w:line="276" w:lineRule="auto"/>
        <w:jc w:val="both"/>
        <w:rPr>
          <w:rFonts w:asciiTheme="majorHAnsi" w:hAnsiTheme="majorHAnsi" w:cstheme="majorHAnsi"/>
          <w:sz w:val="24"/>
          <w:szCs w:val="22"/>
        </w:rPr>
      </w:pPr>
    </w:p>
    <w:p w14:paraId="7195EBDE" w14:textId="7C33C163" w:rsidR="00D322B1" w:rsidRPr="00D322B1" w:rsidRDefault="00D322B1" w:rsidP="00D4710E">
      <w:pPr>
        <w:spacing w:line="276" w:lineRule="auto"/>
        <w:jc w:val="both"/>
        <w:rPr>
          <w:rFonts w:asciiTheme="majorHAnsi" w:hAnsiTheme="majorHAnsi" w:cstheme="majorHAnsi"/>
          <w:sz w:val="24"/>
          <w:szCs w:val="22"/>
        </w:rPr>
      </w:pPr>
      <w:r w:rsidRPr="00D322B1">
        <w:rPr>
          <w:rFonts w:asciiTheme="majorHAnsi" w:hAnsiTheme="majorHAnsi" w:cstheme="majorHAnsi"/>
          <w:sz w:val="24"/>
          <w:szCs w:val="22"/>
        </w:rPr>
        <w:t>Al analizar los datos de la industria alimentaria por subsectores y CCAA a tres dígitos de CNAE 2009, según la Estadística Estructural de Empresas, hemos de recurrir a la variable cifra de negocios</w:t>
      </w:r>
      <w:r w:rsidRPr="00D322B1">
        <w:rPr>
          <w:rStyle w:val="Refdenotaalpie"/>
          <w:rFonts w:asciiTheme="majorHAnsi" w:hAnsiTheme="majorHAnsi" w:cstheme="majorHAnsi"/>
          <w:sz w:val="24"/>
          <w:szCs w:val="22"/>
        </w:rPr>
        <w:footnoteReference w:id="8"/>
      </w:r>
      <w:r w:rsidRPr="00D322B1">
        <w:rPr>
          <w:rFonts w:asciiTheme="majorHAnsi" w:hAnsiTheme="majorHAnsi" w:cstheme="majorHAnsi"/>
          <w:sz w:val="24"/>
          <w:szCs w:val="22"/>
        </w:rPr>
        <w:t>, que asciende a 118.681,8 M€ y que representa un 23,5% del total del sector industrial.</w:t>
      </w:r>
    </w:p>
    <w:p w14:paraId="1F86A474" w14:textId="77777777" w:rsidR="00D322B1" w:rsidRPr="00D322B1" w:rsidRDefault="00D322B1" w:rsidP="00D4710E">
      <w:pPr>
        <w:spacing w:line="276" w:lineRule="auto"/>
        <w:jc w:val="both"/>
        <w:rPr>
          <w:rFonts w:asciiTheme="majorHAnsi" w:hAnsiTheme="majorHAnsi" w:cstheme="majorHAnsi"/>
          <w:sz w:val="24"/>
          <w:szCs w:val="22"/>
        </w:rPr>
      </w:pPr>
      <w:r w:rsidRPr="00D322B1">
        <w:rPr>
          <w:rFonts w:asciiTheme="majorHAnsi" w:hAnsiTheme="majorHAnsi" w:cstheme="majorHAnsi"/>
          <w:sz w:val="24"/>
          <w:szCs w:val="22"/>
        </w:rPr>
        <w:t>Los subsectores más relevantes en cuanto a cifra de negocios son: Industria cárnica 26.207 M€ (22,1%), Fabricación de bebidas 17.280 M€ (14,6%), Productos de alimentación animal 12.698 M€ (10,7%), Aceites y grasas 12.377 M€ (10,4%) y Preparación y conservación de frutas y hortalizas 10.095 M€ (8,5%).</w:t>
      </w:r>
    </w:p>
    <w:p w14:paraId="0B5FB2E9" w14:textId="77777777" w:rsidR="00D322B1" w:rsidRPr="00C5604C" w:rsidRDefault="00D322B1" w:rsidP="00D4710E">
      <w:pPr>
        <w:spacing w:line="276" w:lineRule="auto"/>
        <w:jc w:val="both"/>
        <w:rPr>
          <w:rFonts w:ascii="Arial" w:hAnsi="Arial" w:cs="Arial"/>
          <w:sz w:val="18"/>
          <w:szCs w:val="18"/>
        </w:rPr>
      </w:pPr>
    </w:p>
    <w:tbl>
      <w:tblPr>
        <w:tblW w:w="8005" w:type="dxa"/>
        <w:tblInd w:w="70" w:type="dxa"/>
        <w:tblLayout w:type="fixed"/>
        <w:tblCellMar>
          <w:left w:w="70" w:type="dxa"/>
          <w:right w:w="70" w:type="dxa"/>
        </w:tblCellMar>
        <w:tblLook w:val="0000" w:firstRow="0" w:lastRow="0" w:firstColumn="0" w:lastColumn="0" w:noHBand="0" w:noVBand="0"/>
      </w:tblPr>
      <w:tblGrid>
        <w:gridCol w:w="3419"/>
        <w:gridCol w:w="1468"/>
        <w:gridCol w:w="708"/>
        <w:gridCol w:w="1418"/>
        <w:gridCol w:w="992"/>
      </w:tblGrid>
      <w:tr w:rsidR="00D322B1" w:rsidRPr="00A533A6" w14:paraId="6F578C63" w14:textId="77777777" w:rsidTr="00D322B1">
        <w:trPr>
          <w:trHeight w:val="269"/>
        </w:trPr>
        <w:tc>
          <w:tcPr>
            <w:tcW w:w="3419" w:type="dxa"/>
            <w:vMerge w:val="restart"/>
            <w:tcBorders>
              <w:top w:val="single" w:sz="4" w:space="0" w:color="auto"/>
              <w:left w:val="single" w:sz="4" w:space="0" w:color="auto"/>
              <w:bottom w:val="single" w:sz="4" w:space="0" w:color="auto"/>
              <w:right w:val="single" w:sz="4" w:space="0" w:color="auto"/>
            </w:tcBorders>
            <w:shd w:val="clear" w:color="auto" w:fill="CCFFFF"/>
            <w:noWrap/>
            <w:vAlign w:val="center"/>
          </w:tcPr>
          <w:p w14:paraId="715F5408" w14:textId="77777777" w:rsidR="00D322B1" w:rsidRPr="00A533A6" w:rsidRDefault="00D322B1" w:rsidP="00D4710E">
            <w:pPr>
              <w:spacing w:line="276" w:lineRule="auto"/>
              <w:jc w:val="center"/>
              <w:rPr>
                <w:rFonts w:ascii="Arial" w:hAnsi="Arial" w:cs="Arial"/>
                <w:b/>
                <w:bCs/>
                <w:sz w:val="18"/>
                <w:szCs w:val="18"/>
                <w:lang w:val="es-ES"/>
              </w:rPr>
            </w:pPr>
            <w:r w:rsidRPr="00A533A6">
              <w:rPr>
                <w:rFonts w:ascii="Arial" w:hAnsi="Arial" w:cs="Arial"/>
                <w:b/>
                <w:bCs/>
                <w:sz w:val="18"/>
                <w:szCs w:val="18"/>
                <w:lang w:val="es-ES"/>
              </w:rPr>
              <w:t>SUBSECTORES</w:t>
            </w:r>
          </w:p>
        </w:tc>
        <w:tc>
          <w:tcPr>
            <w:tcW w:w="2176" w:type="dxa"/>
            <w:gridSpan w:val="2"/>
            <w:tcBorders>
              <w:top w:val="single" w:sz="4" w:space="0" w:color="auto"/>
              <w:left w:val="nil"/>
              <w:bottom w:val="single" w:sz="4" w:space="0" w:color="auto"/>
              <w:right w:val="single" w:sz="4" w:space="0" w:color="000000"/>
            </w:tcBorders>
            <w:shd w:val="clear" w:color="auto" w:fill="CCFFFF"/>
            <w:noWrap/>
            <w:vAlign w:val="center"/>
          </w:tcPr>
          <w:p w14:paraId="7127AA5E" w14:textId="77777777" w:rsidR="00D322B1" w:rsidRPr="00853FFB" w:rsidRDefault="00D322B1" w:rsidP="00D4710E">
            <w:pPr>
              <w:spacing w:line="276" w:lineRule="auto"/>
              <w:jc w:val="center"/>
              <w:rPr>
                <w:rFonts w:ascii="Arial" w:hAnsi="Arial" w:cs="Arial"/>
                <w:b/>
                <w:bCs/>
                <w:sz w:val="18"/>
                <w:szCs w:val="18"/>
                <w:lang w:val="es-ES"/>
              </w:rPr>
            </w:pPr>
            <w:r w:rsidRPr="00853FFB">
              <w:rPr>
                <w:rFonts w:ascii="Arial" w:hAnsi="Arial" w:cs="Arial"/>
                <w:b/>
                <w:bCs/>
                <w:sz w:val="18"/>
                <w:szCs w:val="18"/>
              </w:rPr>
              <w:t>Cifra de negocios</w:t>
            </w:r>
          </w:p>
        </w:tc>
        <w:tc>
          <w:tcPr>
            <w:tcW w:w="2410" w:type="dxa"/>
            <w:gridSpan w:val="2"/>
            <w:tcBorders>
              <w:top w:val="single" w:sz="4" w:space="0" w:color="auto"/>
              <w:left w:val="nil"/>
              <w:bottom w:val="single" w:sz="4" w:space="0" w:color="auto"/>
              <w:right w:val="single" w:sz="4" w:space="0" w:color="000000"/>
            </w:tcBorders>
            <w:shd w:val="clear" w:color="auto" w:fill="CCFFFF"/>
            <w:noWrap/>
            <w:vAlign w:val="center"/>
          </w:tcPr>
          <w:p w14:paraId="19BFD4E8" w14:textId="77777777" w:rsidR="00D322B1" w:rsidRPr="00A533A6" w:rsidRDefault="00D322B1" w:rsidP="00D4710E">
            <w:pPr>
              <w:spacing w:line="276" w:lineRule="auto"/>
              <w:jc w:val="center"/>
              <w:rPr>
                <w:rFonts w:ascii="Arial" w:hAnsi="Arial" w:cs="Arial"/>
                <w:b/>
                <w:bCs/>
                <w:sz w:val="18"/>
                <w:szCs w:val="18"/>
                <w:lang w:val="es-ES"/>
              </w:rPr>
            </w:pPr>
            <w:r w:rsidRPr="00A533A6">
              <w:rPr>
                <w:rFonts w:ascii="Arial" w:hAnsi="Arial" w:cs="Arial"/>
                <w:b/>
                <w:bCs/>
                <w:sz w:val="18"/>
                <w:szCs w:val="18"/>
              </w:rPr>
              <w:t>Valor añadido a coste de los factores</w:t>
            </w:r>
          </w:p>
        </w:tc>
      </w:tr>
      <w:tr w:rsidR="00D322B1" w:rsidRPr="00A533A6" w14:paraId="3FB4607C" w14:textId="77777777" w:rsidTr="00D322B1">
        <w:trPr>
          <w:trHeight w:val="269"/>
        </w:trPr>
        <w:tc>
          <w:tcPr>
            <w:tcW w:w="3419" w:type="dxa"/>
            <w:vMerge/>
            <w:tcBorders>
              <w:left w:val="single" w:sz="4" w:space="0" w:color="auto"/>
              <w:bottom w:val="single" w:sz="4" w:space="0" w:color="auto"/>
              <w:right w:val="single" w:sz="4" w:space="0" w:color="auto"/>
            </w:tcBorders>
            <w:shd w:val="clear" w:color="auto" w:fill="CCFFFF"/>
            <w:noWrap/>
            <w:vAlign w:val="center"/>
          </w:tcPr>
          <w:p w14:paraId="0CB1B671" w14:textId="77777777" w:rsidR="00D322B1" w:rsidRPr="00C5604C" w:rsidRDefault="00D322B1" w:rsidP="00D4710E">
            <w:pPr>
              <w:spacing w:line="276" w:lineRule="auto"/>
              <w:jc w:val="center"/>
              <w:rPr>
                <w:rFonts w:ascii="Arial" w:hAnsi="Arial" w:cs="Arial"/>
                <w:b/>
                <w:bCs/>
                <w:sz w:val="18"/>
                <w:szCs w:val="18"/>
                <w:lang w:val="es-ES"/>
              </w:rPr>
            </w:pPr>
          </w:p>
        </w:tc>
        <w:tc>
          <w:tcPr>
            <w:tcW w:w="1468" w:type="dxa"/>
            <w:tcBorders>
              <w:top w:val="nil"/>
              <w:left w:val="nil"/>
              <w:bottom w:val="single" w:sz="4" w:space="0" w:color="auto"/>
              <w:right w:val="single" w:sz="4" w:space="0" w:color="auto"/>
            </w:tcBorders>
            <w:shd w:val="clear" w:color="auto" w:fill="CCFFFF"/>
            <w:noWrap/>
            <w:vAlign w:val="center"/>
          </w:tcPr>
          <w:p w14:paraId="18B0C5ED" w14:textId="77777777" w:rsidR="00D322B1" w:rsidRPr="00853FFB" w:rsidRDefault="00D322B1" w:rsidP="00D4710E">
            <w:pPr>
              <w:spacing w:line="276" w:lineRule="auto"/>
              <w:jc w:val="center"/>
              <w:rPr>
                <w:rFonts w:ascii="Arial" w:hAnsi="Arial" w:cs="Arial"/>
                <w:b/>
                <w:bCs/>
                <w:sz w:val="18"/>
                <w:szCs w:val="18"/>
                <w:lang w:val="es-ES"/>
              </w:rPr>
            </w:pPr>
            <w:r w:rsidRPr="00A533A6">
              <w:rPr>
                <w:rFonts w:ascii="Arial" w:hAnsi="Arial" w:cs="Arial"/>
                <w:b/>
                <w:bCs/>
                <w:sz w:val="18"/>
                <w:szCs w:val="18"/>
                <w:lang w:val="es-ES"/>
              </w:rPr>
              <w:t>Millones euros</w:t>
            </w:r>
          </w:p>
        </w:tc>
        <w:tc>
          <w:tcPr>
            <w:tcW w:w="708" w:type="dxa"/>
            <w:tcBorders>
              <w:top w:val="nil"/>
              <w:left w:val="nil"/>
              <w:bottom w:val="single" w:sz="4" w:space="0" w:color="auto"/>
              <w:right w:val="single" w:sz="4" w:space="0" w:color="auto"/>
            </w:tcBorders>
            <w:shd w:val="clear" w:color="auto" w:fill="CCFFFF"/>
            <w:noWrap/>
            <w:vAlign w:val="center"/>
          </w:tcPr>
          <w:p w14:paraId="50A5C367" w14:textId="77777777" w:rsidR="00D322B1" w:rsidRPr="00A533A6" w:rsidRDefault="00D322B1" w:rsidP="00D4710E">
            <w:pPr>
              <w:spacing w:line="276" w:lineRule="auto"/>
              <w:ind w:left="-70"/>
              <w:jc w:val="center"/>
              <w:rPr>
                <w:rFonts w:ascii="Arial" w:hAnsi="Arial" w:cs="Arial"/>
                <w:b/>
                <w:bCs/>
                <w:sz w:val="18"/>
                <w:szCs w:val="18"/>
                <w:lang w:val="es-ES"/>
              </w:rPr>
            </w:pPr>
            <w:r w:rsidRPr="00A533A6">
              <w:rPr>
                <w:rFonts w:ascii="Arial" w:hAnsi="Arial" w:cs="Arial"/>
                <w:b/>
                <w:bCs/>
                <w:sz w:val="18"/>
                <w:szCs w:val="18"/>
                <w:lang w:val="es-ES"/>
              </w:rPr>
              <w:t>% s/ IA</w:t>
            </w:r>
          </w:p>
        </w:tc>
        <w:tc>
          <w:tcPr>
            <w:tcW w:w="1418" w:type="dxa"/>
            <w:tcBorders>
              <w:top w:val="nil"/>
              <w:left w:val="nil"/>
              <w:bottom w:val="single" w:sz="4" w:space="0" w:color="auto"/>
              <w:right w:val="single" w:sz="4" w:space="0" w:color="auto"/>
            </w:tcBorders>
            <w:shd w:val="clear" w:color="auto" w:fill="CCFFFF"/>
            <w:noWrap/>
            <w:vAlign w:val="center"/>
          </w:tcPr>
          <w:p w14:paraId="02462A00" w14:textId="77777777" w:rsidR="00D322B1" w:rsidRPr="00A533A6" w:rsidRDefault="00D322B1" w:rsidP="00D4710E">
            <w:pPr>
              <w:spacing w:line="276" w:lineRule="auto"/>
              <w:jc w:val="center"/>
              <w:rPr>
                <w:rFonts w:ascii="Arial" w:hAnsi="Arial" w:cs="Arial"/>
                <w:b/>
                <w:bCs/>
                <w:sz w:val="18"/>
                <w:szCs w:val="18"/>
                <w:lang w:val="es-ES"/>
              </w:rPr>
            </w:pPr>
            <w:r w:rsidRPr="00A533A6">
              <w:rPr>
                <w:rFonts w:ascii="Arial" w:hAnsi="Arial" w:cs="Arial"/>
                <w:b/>
                <w:bCs/>
                <w:sz w:val="18"/>
                <w:szCs w:val="18"/>
                <w:lang w:val="es-ES"/>
              </w:rPr>
              <w:t>Millones euros</w:t>
            </w:r>
          </w:p>
        </w:tc>
        <w:tc>
          <w:tcPr>
            <w:tcW w:w="992" w:type="dxa"/>
            <w:tcBorders>
              <w:top w:val="nil"/>
              <w:left w:val="nil"/>
              <w:bottom w:val="single" w:sz="4" w:space="0" w:color="auto"/>
              <w:right w:val="single" w:sz="4" w:space="0" w:color="auto"/>
            </w:tcBorders>
            <w:shd w:val="clear" w:color="auto" w:fill="CCFFFF"/>
            <w:noWrap/>
            <w:vAlign w:val="center"/>
          </w:tcPr>
          <w:p w14:paraId="58C604D6" w14:textId="77777777" w:rsidR="00D322B1" w:rsidRPr="00A533A6" w:rsidRDefault="00D322B1" w:rsidP="00D4710E">
            <w:pPr>
              <w:spacing w:line="276" w:lineRule="auto"/>
              <w:jc w:val="center"/>
              <w:rPr>
                <w:rFonts w:ascii="Arial" w:hAnsi="Arial" w:cs="Arial"/>
                <w:b/>
                <w:bCs/>
                <w:sz w:val="18"/>
                <w:szCs w:val="18"/>
                <w:lang w:val="es-ES"/>
              </w:rPr>
            </w:pPr>
            <w:r w:rsidRPr="00A533A6">
              <w:rPr>
                <w:rFonts w:ascii="Arial" w:hAnsi="Arial" w:cs="Arial"/>
                <w:b/>
                <w:bCs/>
                <w:sz w:val="18"/>
                <w:szCs w:val="18"/>
                <w:lang w:val="es-ES"/>
              </w:rPr>
              <w:t>% s/ IA</w:t>
            </w:r>
          </w:p>
        </w:tc>
      </w:tr>
      <w:tr w:rsidR="00D322B1" w:rsidRPr="00A533A6" w14:paraId="5C6415D1" w14:textId="77777777" w:rsidTr="00D322B1">
        <w:trPr>
          <w:trHeight w:hRule="exact" w:val="355"/>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3E41"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Industria cárnica</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6CEF08D8"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26.207</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9334061"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22,1</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E39911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4.107</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18026F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19,8</w:t>
            </w:r>
          </w:p>
        </w:tc>
      </w:tr>
      <w:tr w:rsidR="00D322B1" w:rsidRPr="00A533A6" w14:paraId="312BC72C" w14:textId="77777777" w:rsidTr="00D322B1">
        <w:trPr>
          <w:trHeight w:hRule="exact" w:val="285"/>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5DA68"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Industria del pescado</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3B87557"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5.878</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67A4EDD"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5,0</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4D306055"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788</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3EC7405"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3,8</w:t>
            </w:r>
          </w:p>
        </w:tc>
      </w:tr>
      <w:tr w:rsidR="00D322B1" w:rsidRPr="00A533A6" w14:paraId="7AC46157" w14:textId="77777777" w:rsidTr="00D322B1">
        <w:trPr>
          <w:trHeight w:hRule="exact" w:val="279"/>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4B747" w14:textId="77777777" w:rsidR="00D322B1" w:rsidRPr="00853FFB" w:rsidRDefault="00D322B1" w:rsidP="00D4710E">
            <w:pPr>
              <w:spacing w:line="276" w:lineRule="auto"/>
              <w:rPr>
                <w:rFonts w:ascii="Arial" w:hAnsi="Arial" w:cs="Arial"/>
                <w:sz w:val="18"/>
                <w:szCs w:val="18"/>
              </w:rPr>
            </w:pPr>
            <w:proofErr w:type="spellStart"/>
            <w:r w:rsidRPr="00A533A6">
              <w:rPr>
                <w:rFonts w:ascii="Arial" w:hAnsi="Arial" w:cs="Arial"/>
                <w:sz w:val="18"/>
                <w:szCs w:val="18"/>
              </w:rPr>
              <w:t>Prep</w:t>
            </w:r>
            <w:proofErr w:type="spellEnd"/>
            <w:r w:rsidRPr="00A533A6">
              <w:rPr>
                <w:rFonts w:ascii="Arial" w:hAnsi="Arial" w:cs="Arial"/>
                <w:sz w:val="18"/>
                <w:szCs w:val="18"/>
              </w:rPr>
              <w:t>. y conservación frutas y hortalizas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97805E5"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10.095</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4C86F9A2"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8,5</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12394B7"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1.778</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D0D1AA7"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8,6</w:t>
            </w:r>
          </w:p>
        </w:tc>
      </w:tr>
      <w:tr w:rsidR="00D322B1" w:rsidRPr="00A533A6" w14:paraId="22A66FCD" w14:textId="77777777" w:rsidTr="00D322B1">
        <w:trPr>
          <w:trHeight w:hRule="exact" w:val="268"/>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73D5E"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Aceites y grasas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0E5A153F"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12.377</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0EDBA0D"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10,4</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B0745FD"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827</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114B667"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4,0</w:t>
            </w:r>
          </w:p>
        </w:tc>
      </w:tr>
      <w:tr w:rsidR="00D322B1" w:rsidRPr="00A533A6" w14:paraId="4E804F4C" w14:textId="77777777" w:rsidTr="00D322B1">
        <w:trPr>
          <w:trHeight w:hRule="exact" w:val="285"/>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BD1E7"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Productos lácteos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450813B"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9.397</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F7A8702"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7,9</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0A9A11A6"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1.680</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3A3D071"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8,1</w:t>
            </w:r>
          </w:p>
        </w:tc>
      </w:tr>
      <w:tr w:rsidR="00D322B1" w:rsidRPr="00A533A6" w14:paraId="72ABC2AF" w14:textId="77777777" w:rsidTr="00D322B1">
        <w:trPr>
          <w:trHeight w:hRule="exact" w:val="279"/>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F050E"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Molinería y almidones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D21B9E2"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3.337</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1E4FE1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2,8</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78F4ED9B"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451</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674C3C22"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2,2</w:t>
            </w:r>
          </w:p>
        </w:tc>
      </w:tr>
      <w:tr w:rsidR="00D322B1" w:rsidRPr="00A533A6" w14:paraId="2AB4230A" w14:textId="77777777" w:rsidTr="00D322B1">
        <w:trPr>
          <w:trHeight w:hRule="exact" w:val="279"/>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8A7B7"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Panadería y pastas alimenticias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E26DFEF"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8.504</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1469C678"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7,2</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8EF99A0"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2.800</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AE5532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13,5</w:t>
            </w:r>
          </w:p>
        </w:tc>
      </w:tr>
      <w:tr w:rsidR="00D322B1" w:rsidRPr="00A533A6" w14:paraId="51D4720B" w14:textId="77777777" w:rsidTr="00D322B1">
        <w:trPr>
          <w:trHeight w:hRule="exact" w:val="284"/>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0F3A0"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lastRenderedPageBreak/>
              <w:t>Fabricación otros productos alimenticios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E7F156C"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12.907</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C6590F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10,9</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F7777E6"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2.900</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653F8B6B"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14,0</w:t>
            </w:r>
          </w:p>
        </w:tc>
      </w:tr>
      <w:tr w:rsidR="00D322B1" w:rsidRPr="00A533A6" w14:paraId="542E14B1" w14:textId="77777777" w:rsidTr="00D322B1">
        <w:trPr>
          <w:trHeight w:hRule="exact" w:val="247"/>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7F898"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Productos de alimentación animal</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E78CEF0"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12.698</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BA7A05C"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10,7</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28BFB4BA"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1.039</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D850C19"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5,0</w:t>
            </w:r>
          </w:p>
        </w:tc>
      </w:tr>
      <w:tr w:rsidR="00D322B1" w:rsidRPr="00A533A6" w14:paraId="6449F4C8" w14:textId="77777777" w:rsidTr="00D322B1">
        <w:trPr>
          <w:trHeight w:hRule="exact" w:val="280"/>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9C93" w14:textId="77777777" w:rsidR="00D322B1" w:rsidRPr="00A533A6" w:rsidRDefault="00D322B1" w:rsidP="00D4710E">
            <w:pPr>
              <w:spacing w:line="276" w:lineRule="auto"/>
              <w:rPr>
                <w:rFonts w:ascii="Arial" w:hAnsi="Arial" w:cs="Arial"/>
                <w:sz w:val="18"/>
                <w:szCs w:val="18"/>
              </w:rPr>
            </w:pPr>
            <w:r w:rsidRPr="00A533A6">
              <w:rPr>
                <w:rFonts w:ascii="Arial" w:hAnsi="Arial" w:cs="Arial"/>
                <w:sz w:val="18"/>
                <w:szCs w:val="18"/>
              </w:rPr>
              <w:t>Fabricación de bebidas</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86F77D0" w14:textId="77777777" w:rsidR="00D322B1" w:rsidRPr="00853FFB" w:rsidRDefault="00D322B1" w:rsidP="00D4710E">
            <w:pPr>
              <w:spacing w:line="276" w:lineRule="auto"/>
              <w:ind w:left="-9" w:right="166"/>
              <w:jc w:val="right"/>
              <w:rPr>
                <w:rFonts w:ascii="Arial" w:hAnsi="Arial" w:cs="Arial"/>
                <w:sz w:val="18"/>
                <w:szCs w:val="18"/>
              </w:rPr>
            </w:pPr>
            <w:r w:rsidRPr="00853FFB">
              <w:rPr>
                <w:rFonts w:ascii="Arial" w:hAnsi="Arial" w:cs="Arial"/>
                <w:sz w:val="18"/>
                <w:szCs w:val="18"/>
              </w:rPr>
              <w:t>17.280</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47543A2F"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14,6</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0548EBD4"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4.328</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98BD3D2" w14:textId="77777777" w:rsidR="00D322B1" w:rsidRPr="00A533A6" w:rsidRDefault="00D322B1" w:rsidP="00D4710E">
            <w:pPr>
              <w:spacing w:line="276" w:lineRule="auto"/>
              <w:ind w:left="-9" w:right="166"/>
              <w:jc w:val="right"/>
              <w:rPr>
                <w:rFonts w:ascii="Arial" w:hAnsi="Arial" w:cs="Arial"/>
                <w:sz w:val="18"/>
                <w:szCs w:val="18"/>
              </w:rPr>
            </w:pPr>
            <w:r w:rsidRPr="00A533A6">
              <w:rPr>
                <w:rFonts w:ascii="Arial" w:hAnsi="Arial" w:cs="Arial"/>
                <w:sz w:val="18"/>
                <w:szCs w:val="18"/>
              </w:rPr>
              <w:t xml:space="preserve">20,9 </w:t>
            </w:r>
          </w:p>
        </w:tc>
      </w:tr>
      <w:tr w:rsidR="00D322B1" w:rsidRPr="00A533A6" w14:paraId="68E8A382" w14:textId="77777777" w:rsidTr="00D322B1">
        <w:trPr>
          <w:trHeight w:hRule="exact" w:val="235"/>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0802A" w14:textId="77777777" w:rsidR="00D322B1" w:rsidRPr="00A533A6" w:rsidRDefault="00D322B1" w:rsidP="00D4710E">
            <w:pPr>
              <w:spacing w:line="276" w:lineRule="auto"/>
              <w:rPr>
                <w:rFonts w:ascii="Arial" w:hAnsi="Arial" w:cs="Arial"/>
                <w:b/>
                <w:sz w:val="18"/>
                <w:szCs w:val="18"/>
              </w:rPr>
            </w:pPr>
            <w:r w:rsidRPr="00A533A6">
              <w:rPr>
                <w:rFonts w:ascii="Arial" w:hAnsi="Arial" w:cs="Arial"/>
                <w:b/>
                <w:sz w:val="18"/>
                <w:szCs w:val="18"/>
              </w:rPr>
              <w:t>Total Industria Alimentaria</w:t>
            </w:r>
          </w:p>
        </w:tc>
        <w:tc>
          <w:tcPr>
            <w:tcW w:w="146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9818720" w14:textId="77777777" w:rsidR="00D322B1" w:rsidRPr="00853FFB" w:rsidRDefault="00D322B1" w:rsidP="00D4710E">
            <w:pPr>
              <w:spacing w:line="276" w:lineRule="auto"/>
              <w:ind w:left="-9" w:right="166"/>
              <w:jc w:val="right"/>
              <w:rPr>
                <w:rFonts w:ascii="Arial" w:hAnsi="Arial" w:cs="Arial"/>
                <w:b/>
                <w:sz w:val="18"/>
                <w:szCs w:val="18"/>
              </w:rPr>
            </w:pPr>
            <w:r w:rsidRPr="00853FFB">
              <w:rPr>
                <w:rFonts w:ascii="Arial" w:hAnsi="Arial" w:cs="Arial"/>
                <w:b/>
                <w:sz w:val="18"/>
                <w:szCs w:val="18"/>
              </w:rPr>
              <w:t>118.682</w:t>
            </w:r>
          </w:p>
        </w:tc>
        <w:tc>
          <w:tcPr>
            <w:tcW w:w="70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3929B57C" w14:textId="77777777" w:rsidR="00D322B1" w:rsidRPr="00853FFB" w:rsidRDefault="00D322B1" w:rsidP="00D4710E">
            <w:pPr>
              <w:spacing w:line="276" w:lineRule="auto"/>
              <w:ind w:left="-9" w:right="166"/>
              <w:jc w:val="center"/>
              <w:rPr>
                <w:rFonts w:ascii="Arial" w:hAnsi="Arial" w:cs="Arial"/>
                <w:b/>
                <w:sz w:val="18"/>
                <w:szCs w:val="18"/>
              </w:rPr>
            </w:pPr>
            <w:r w:rsidRPr="00853FFB">
              <w:rPr>
                <w:rFonts w:ascii="Arial" w:hAnsi="Arial" w:cs="Arial"/>
                <w:b/>
                <w:sz w:val="18"/>
                <w:szCs w:val="18"/>
              </w:rPr>
              <w:t>100</w:t>
            </w:r>
          </w:p>
        </w:tc>
        <w:tc>
          <w:tcPr>
            <w:tcW w:w="1418"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10242E3E" w14:textId="77777777" w:rsidR="00D322B1" w:rsidRPr="00A533A6" w:rsidRDefault="00D322B1" w:rsidP="00D4710E">
            <w:pPr>
              <w:spacing w:line="276" w:lineRule="auto"/>
              <w:ind w:left="-9" w:right="166"/>
              <w:jc w:val="right"/>
              <w:rPr>
                <w:rFonts w:ascii="Arial" w:hAnsi="Arial" w:cs="Arial"/>
                <w:b/>
                <w:sz w:val="18"/>
                <w:szCs w:val="18"/>
              </w:rPr>
            </w:pPr>
            <w:r w:rsidRPr="00A533A6">
              <w:rPr>
                <w:rFonts w:ascii="Arial" w:hAnsi="Arial" w:cs="Arial"/>
                <w:b/>
                <w:sz w:val="18"/>
                <w:szCs w:val="18"/>
              </w:rPr>
              <w:t>20.699</w:t>
            </w:r>
          </w:p>
        </w:tc>
        <w:tc>
          <w:tcPr>
            <w:tcW w:w="992" w:type="dxa"/>
            <w:tcBorders>
              <w:top w:val="single" w:sz="4" w:space="0" w:color="auto"/>
              <w:left w:val="single" w:sz="4" w:space="0" w:color="auto"/>
              <w:bottom w:val="single" w:sz="4" w:space="0" w:color="auto"/>
              <w:right w:val="single" w:sz="4" w:space="0" w:color="auto"/>
            </w:tcBorders>
            <w:shd w:val="clear" w:color="000000" w:fill="F3F4F7"/>
            <w:noWrap/>
            <w:vAlign w:val="center"/>
          </w:tcPr>
          <w:p w14:paraId="570EABFB" w14:textId="77777777" w:rsidR="00D322B1" w:rsidRPr="00A533A6" w:rsidRDefault="00D322B1" w:rsidP="00D4710E">
            <w:pPr>
              <w:spacing w:line="276" w:lineRule="auto"/>
              <w:ind w:left="-9" w:right="166"/>
              <w:jc w:val="center"/>
              <w:rPr>
                <w:rFonts w:ascii="Arial" w:hAnsi="Arial" w:cs="Arial"/>
                <w:b/>
                <w:sz w:val="18"/>
                <w:szCs w:val="18"/>
              </w:rPr>
            </w:pPr>
            <w:r w:rsidRPr="00A533A6">
              <w:rPr>
                <w:rFonts w:ascii="Arial" w:hAnsi="Arial" w:cs="Arial"/>
                <w:b/>
                <w:sz w:val="18"/>
                <w:szCs w:val="18"/>
              </w:rPr>
              <w:t>100</w:t>
            </w:r>
          </w:p>
        </w:tc>
      </w:tr>
    </w:tbl>
    <w:p w14:paraId="3FD59E93" w14:textId="77777777" w:rsidR="00D322B1" w:rsidRPr="00E43C68" w:rsidRDefault="00D322B1" w:rsidP="00D4710E">
      <w:pPr>
        <w:spacing w:line="276" w:lineRule="auto"/>
        <w:ind w:left="142" w:right="-46"/>
        <w:jc w:val="both"/>
        <w:rPr>
          <w:rFonts w:ascii="Arial" w:hAnsi="Arial" w:cs="Arial"/>
          <w:sz w:val="16"/>
          <w:szCs w:val="16"/>
          <w:lang w:val="es-ES"/>
        </w:rPr>
      </w:pPr>
      <w:r w:rsidRPr="00E43C68">
        <w:rPr>
          <w:rFonts w:ascii="Arial" w:hAnsi="Arial" w:cs="Arial"/>
          <w:b/>
          <w:bCs/>
          <w:sz w:val="16"/>
          <w:szCs w:val="16"/>
          <w:lang w:val="es-ES"/>
        </w:rPr>
        <w:t xml:space="preserve">Fuente: </w:t>
      </w:r>
      <w:r w:rsidRPr="00E43C68">
        <w:rPr>
          <w:rFonts w:ascii="Arial" w:hAnsi="Arial" w:cs="Arial"/>
          <w:sz w:val="16"/>
          <w:szCs w:val="16"/>
        </w:rPr>
        <w:t xml:space="preserve">Datos </w:t>
      </w:r>
      <w:r w:rsidRPr="00E43C68">
        <w:rPr>
          <w:rFonts w:ascii="Arial" w:hAnsi="Arial" w:cs="Arial"/>
          <w:sz w:val="16"/>
          <w:szCs w:val="16"/>
          <w:lang w:val="es-ES"/>
        </w:rPr>
        <w:t>de la Estadística Estructural de Empresas Sector Industrial 2017 del INE.</w:t>
      </w:r>
    </w:p>
    <w:p w14:paraId="013139E9" w14:textId="77777777" w:rsidR="00D322B1" w:rsidRPr="00E43C68" w:rsidRDefault="00D322B1" w:rsidP="00D4710E">
      <w:pPr>
        <w:spacing w:line="276" w:lineRule="auto"/>
        <w:ind w:right="-46"/>
        <w:jc w:val="both"/>
        <w:rPr>
          <w:rFonts w:ascii="Arial" w:hAnsi="Arial" w:cs="Arial"/>
          <w:sz w:val="18"/>
          <w:szCs w:val="18"/>
        </w:rPr>
      </w:pPr>
    </w:p>
    <w:p w14:paraId="58873E37" w14:textId="77777777" w:rsidR="00D322B1" w:rsidRPr="00D322B1" w:rsidRDefault="00D322B1" w:rsidP="00D4710E">
      <w:pPr>
        <w:spacing w:line="276" w:lineRule="auto"/>
        <w:ind w:right="-46"/>
        <w:jc w:val="both"/>
        <w:rPr>
          <w:rFonts w:asciiTheme="majorHAnsi" w:hAnsiTheme="majorHAnsi" w:cstheme="majorHAnsi"/>
          <w:sz w:val="22"/>
          <w:szCs w:val="22"/>
        </w:rPr>
      </w:pPr>
      <w:r w:rsidRPr="00D322B1">
        <w:rPr>
          <w:rFonts w:asciiTheme="majorHAnsi" w:hAnsiTheme="majorHAnsi" w:cstheme="majorHAnsi"/>
          <w:sz w:val="22"/>
          <w:szCs w:val="22"/>
        </w:rPr>
        <w:t>Respecto al comercio exterior alimentario transformado</w:t>
      </w:r>
      <w:r w:rsidRPr="00D322B1">
        <w:rPr>
          <w:rFonts w:asciiTheme="majorHAnsi" w:hAnsiTheme="majorHAnsi" w:cstheme="majorHAnsi"/>
          <w:b/>
          <w:sz w:val="22"/>
          <w:szCs w:val="22"/>
        </w:rPr>
        <w:t xml:space="preserve">, </w:t>
      </w:r>
      <w:r w:rsidRPr="00D322B1">
        <w:rPr>
          <w:rFonts w:asciiTheme="majorHAnsi" w:hAnsiTheme="majorHAnsi" w:cstheme="majorHAnsi"/>
          <w:sz w:val="22"/>
          <w:szCs w:val="22"/>
        </w:rPr>
        <w:t>durante 2018, el valor de las exportaciones ha ascendido a 29.931 millones de euros y el de las importaciones a 22.218 millones de euros. El saldo es positivo con 7.713 millones de euros y con una tasa de cobertura situada actualmente en el 135%.</w:t>
      </w:r>
    </w:p>
    <w:p w14:paraId="4ABDAF37" w14:textId="77777777" w:rsidR="00801763" w:rsidRDefault="00801763" w:rsidP="00D4710E">
      <w:pPr>
        <w:spacing w:line="276" w:lineRule="auto"/>
        <w:ind w:right="-46"/>
        <w:jc w:val="both"/>
        <w:rPr>
          <w:rFonts w:ascii="Arial" w:hAnsi="Arial" w:cs="Arial"/>
          <w:color w:val="5B9BD5" w:themeColor="accent1"/>
          <w:sz w:val="22"/>
          <w:szCs w:val="22"/>
        </w:rPr>
      </w:pPr>
    </w:p>
    <w:p w14:paraId="69F7B7DB" w14:textId="77777777" w:rsidR="00801763" w:rsidRPr="00DA3DAF" w:rsidRDefault="00801763" w:rsidP="00D4710E">
      <w:pPr>
        <w:spacing w:line="276" w:lineRule="auto"/>
        <w:ind w:right="-46"/>
        <w:jc w:val="both"/>
        <w:rPr>
          <w:rFonts w:ascii="Arial" w:hAnsi="Arial" w:cs="Arial"/>
          <w:color w:val="5B9BD5" w:themeColor="accent1"/>
          <w:sz w:val="22"/>
          <w:szCs w:val="22"/>
        </w:rPr>
      </w:pPr>
    </w:p>
    <w:tbl>
      <w:tblPr>
        <w:tblW w:w="8303" w:type="dxa"/>
        <w:tblInd w:w="202" w:type="dxa"/>
        <w:tblCellMar>
          <w:left w:w="70" w:type="dxa"/>
          <w:right w:w="70" w:type="dxa"/>
        </w:tblCellMar>
        <w:tblLook w:val="04A0" w:firstRow="1" w:lastRow="0" w:firstColumn="1" w:lastColumn="0" w:noHBand="0" w:noVBand="1"/>
      </w:tblPr>
      <w:tblGrid>
        <w:gridCol w:w="3214"/>
        <w:gridCol w:w="1426"/>
        <w:gridCol w:w="1435"/>
        <w:gridCol w:w="811"/>
        <w:gridCol w:w="1417"/>
      </w:tblGrid>
      <w:tr w:rsidR="00D322B1" w:rsidRPr="00A533A6" w14:paraId="29DB76D9" w14:textId="77777777" w:rsidTr="00D322B1">
        <w:trPr>
          <w:trHeight w:val="360"/>
        </w:trPr>
        <w:tc>
          <w:tcPr>
            <w:tcW w:w="8303" w:type="dxa"/>
            <w:gridSpan w:val="5"/>
            <w:tcBorders>
              <w:top w:val="nil"/>
              <w:left w:val="nil"/>
              <w:bottom w:val="single" w:sz="4" w:space="0" w:color="auto"/>
              <w:right w:val="nil"/>
            </w:tcBorders>
            <w:shd w:val="clear" w:color="000000" w:fill="FFFF99"/>
            <w:noWrap/>
            <w:vAlign w:val="center"/>
            <w:hideMark/>
          </w:tcPr>
          <w:p w14:paraId="30D6572F" w14:textId="77777777" w:rsidR="00D322B1" w:rsidRPr="00A533A6" w:rsidRDefault="00D322B1" w:rsidP="00D4710E">
            <w:pPr>
              <w:spacing w:line="276" w:lineRule="auto"/>
              <w:jc w:val="center"/>
              <w:rPr>
                <w:rFonts w:ascii="Arial" w:hAnsi="Arial" w:cs="Arial"/>
                <w:b/>
                <w:bCs/>
                <w:color w:val="000000"/>
                <w:sz w:val="18"/>
                <w:szCs w:val="18"/>
                <w:lang w:val="es-ES"/>
              </w:rPr>
            </w:pPr>
            <w:r w:rsidRPr="00A533A6">
              <w:rPr>
                <w:rFonts w:ascii="Arial" w:hAnsi="Arial" w:cs="Arial"/>
                <w:b/>
                <w:bCs/>
                <w:color w:val="000000"/>
                <w:sz w:val="18"/>
                <w:szCs w:val="18"/>
              </w:rPr>
              <w:footnoteReference w:customMarkFollows="1" w:id="9"/>
              <w:t>COMERCIO EXTERIOR DE LA INDUSTRIA ALIMENTARIA</w:t>
            </w:r>
            <w:r>
              <w:rPr>
                <w:rFonts w:ascii="Arial" w:hAnsi="Arial" w:cs="Arial"/>
                <w:b/>
                <w:bCs/>
                <w:color w:val="000000"/>
                <w:sz w:val="18"/>
                <w:szCs w:val="18"/>
              </w:rPr>
              <w:t xml:space="preserve"> 2018</w:t>
            </w:r>
          </w:p>
        </w:tc>
      </w:tr>
      <w:tr w:rsidR="00D322B1" w:rsidRPr="00A533A6" w14:paraId="59F99326" w14:textId="77777777" w:rsidTr="00D322B1">
        <w:trPr>
          <w:trHeight w:val="514"/>
        </w:trPr>
        <w:tc>
          <w:tcPr>
            <w:tcW w:w="321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636B3554" w14:textId="77777777" w:rsidR="00D322B1" w:rsidRPr="00A533A6" w:rsidRDefault="00D322B1" w:rsidP="00D4710E">
            <w:pPr>
              <w:spacing w:line="276" w:lineRule="auto"/>
              <w:jc w:val="center"/>
              <w:rPr>
                <w:rFonts w:ascii="Arial" w:hAnsi="Arial" w:cs="Arial"/>
                <w:b/>
                <w:bCs/>
                <w:color w:val="000000"/>
                <w:sz w:val="18"/>
                <w:szCs w:val="18"/>
                <w:lang w:val="es-ES"/>
              </w:rPr>
            </w:pPr>
            <w:r w:rsidRPr="00A533A6">
              <w:rPr>
                <w:rFonts w:ascii="Arial" w:hAnsi="Arial" w:cs="Arial"/>
                <w:b/>
                <w:bCs/>
                <w:color w:val="000000"/>
                <w:sz w:val="18"/>
                <w:szCs w:val="18"/>
                <w:lang w:val="es-ES"/>
              </w:rPr>
              <w:t>ESPAÑA - TOTAL PAÍSES</w:t>
            </w:r>
          </w:p>
        </w:tc>
        <w:tc>
          <w:tcPr>
            <w:tcW w:w="1426" w:type="dxa"/>
            <w:tcBorders>
              <w:top w:val="single" w:sz="4" w:space="0" w:color="auto"/>
              <w:left w:val="nil"/>
              <w:bottom w:val="single" w:sz="4" w:space="0" w:color="auto"/>
              <w:right w:val="single" w:sz="4" w:space="0" w:color="auto"/>
            </w:tcBorders>
            <w:shd w:val="clear" w:color="000000" w:fill="CCFFFF"/>
            <w:noWrap/>
            <w:vAlign w:val="center"/>
            <w:hideMark/>
          </w:tcPr>
          <w:p w14:paraId="22E9B0D5" w14:textId="77777777" w:rsidR="00D322B1" w:rsidRPr="00853FFB" w:rsidRDefault="00D322B1" w:rsidP="00D4710E">
            <w:pPr>
              <w:spacing w:line="276" w:lineRule="auto"/>
              <w:jc w:val="center"/>
              <w:rPr>
                <w:rFonts w:ascii="Arial" w:hAnsi="Arial" w:cs="Arial"/>
                <w:b/>
                <w:bCs/>
                <w:color w:val="000000"/>
                <w:sz w:val="18"/>
                <w:szCs w:val="18"/>
                <w:lang w:val="es-ES"/>
              </w:rPr>
            </w:pPr>
            <w:r w:rsidRPr="00853FFB">
              <w:rPr>
                <w:rFonts w:ascii="Arial" w:hAnsi="Arial" w:cs="Arial"/>
                <w:b/>
                <w:bCs/>
                <w:color w:val="000000"/>
                <w:sz w:val="18"/>
                <w:szCs w:val="18"/>
                <w:lang w:val="es-ES"/>
              </w:rPr>
              <w:t>E</w:t>
            </w:r>
            <w:r>
              <w:rPr>
                <w:rFonts w:ascii="Arial" w:hAnsi="Arial" w:cs="Arial"/>
                <w:b/>
                <w:bCs/>
                <w:color w:val="000000"/>
                <w:sz w:val="18"/>
                <w:szCs w:val="18"/>
                <w:lang w:val="es-ES"/>
              </w:rPr>
              <w:t xml:space="preserve">xportaciones </w:t>
            </w:r>
            <w:r w:rsidRPr="00853FFB">
              <w:rPr>
                <w:rFonts w:ascii="Arial" w:hAnsi="Arial" w:cs="Arial"/>
                <w:b/>
                <w:bCs/>
                <w:color w:val="000000"/>
                <w:sz w:val="18"/>
                <w:szCs w:val="18"/>
                <w:lang w:val="es-ES"/>
              </w:rPr>
              <w:t>(M €)</w:t>
            </w:r>
          </w:p>
        </w:tc>
        <w:tc>
          <w:tcPr>
            <w:tcW w:w="1435" w:type="dxa"/>
            <w:tcBorders>
              <w:top w:val="single" w:sz="4" w:space="0" w:color="auto"/>
              <w:left w:val="nil"/>
              <w:bottom w:val="single" w:sz="4" w:space="0" w:color="auto"/>
              <w:right w:val="single" w:sz="4" w:space="0" w:color="auto"/>
            </w:tcBorders>
            <w:shd w:val="clear" w:color="000000" w:fill="CCFFFF"/>
            <w:noWrap/>
            <w:vAlign w:val="center"/>
            <w:hideMark/>
          </w:tcPr>
          <w:p w14:paraId="7A31A2A2" w14:textId="77777777" w:rsidR="00D322B1" w:rsidRPr="00853FFB" w:rsidRDefault="00D322B1" w:rsidP="00D4710E">
            <w:pPr>
              <w:spacing w:line="276" w:lineRule="auto"/>
              <w:jc w:val="center"/>
              <w:rPr>
                <w:rFonts w:ascii="Arial" w:hAnsi="Arial" w:cs="Arial"/>
                <w:b/>
                <w:bCs/>
                <w:color w:val="000000"/>
                <w:sz w:val="18"/>
                <w:szCs w:val="18"/>
                <w:lang w:val="es-ES"/>
              </w:rPr>
            </w:pPr>
            <w:r w:rsidRPr="00853FFB">
              <w:rPr>
                <w:rFonts w:ascii="Arial" w:hAnsi="Arial" w:cs="Arial"/>
                <w:b/>
                <w:bCs/>
                <w:color w:val="000000"/>
                <w:sz w:val="18"/>
                <w:szCs w:val="18"/>
                <w:lang w:val="es-ES"/>
              </w:rPr>
              <w:t>I</w:t>
            </w:r>
            <w:r>
              <w:rPr>
                <w:rFonts w:ascii="Arial" w:hAnsi="Arial" w:cs="Arial"/>
                <w:b/>
                <w:bCs/>
                <w:color w:val="000000"/>
                <w:sz w:val="18"/>
                <w:szCs w:val="18"/>
                <w:lang w:val="es-ES"/>
              </w:rPr>
              <w:t>mportaciones</w:t>
            </w:r>
            <w:r w:rsidRPr="00853FFB">
              <w:rPr>
                <w:rFonts w:ascii="Arial" w:hAnsi="Arial" w:cs="Arial"/>
                <w:b/>
                <w:bCs/>
                <w:color w:val="000000"/>
                <w:sz w:val="18"/>
                <w:szCs w:val="18"/>
                <w:lang w:val="es-ES"/>
              </w:rPr>
              <w:t xml:space="preserve"> (M €)</w:t>
            </w:r>
          </w:p>
        </w:tc>
        <w:tc>
          <w:tcPr>
            <w:tcW w:w="811" w:type="dxa"/>
            <w:tcBorders>
              <w:top w:val="single" w:sz="4" w:space="0" w:color="auto"/>
              <w:left w:val="nil"/>
              <w:bottom w:val="single" w:sz="4" w:space="0" w:color="auto"/>
              <w:right w:val="single" w:sz="4" w:space="0" w:color="auto"/>
            </w:tcBorders>
            <w:shd w:val="clear" w:color="000000" w:fill="CCFFFF"/>
            <w:noWrap/>
            <w:vAlign w:val="center"/>
            <w:hideMark/>
          </w:tcPr>
          <w:p w14:paraId="5D391716" w14:textId="77777777" w:rsidR="00D322B1" w:rsidRPr="00853FFB" w:rsidRDefault="00D322B1" w:rsidP="00D4710E">
            <w:pPr>
              <w:spacing w:line="276" w:lineRule="auto"/>
              <w:jc w:val="center"/>
              <w:rPr>
                <w:rFonts w:ascii="Arial" w:hAnsi="Arial" w:cs="Arial"/>
                <w:b/>
                <w:bCs/>
                <w:color w:val="000000"/>
                <w:sz w:val="18"/>
                <w:szCs w:val="18"/>
                <w:lang w:val="es-ES"/>
              </w:rPr>
            </w:pPr>
            <w:r w:rsidRPr="00853FFB">
              <w:rPr>
                <w:rFonts w:ascii="Arial" w:hAnsi="Arial" w:cs="Arial"/>
                <w:b/>
                <w:bCs/>
                <w:color w:val="000000"/>
                <w:sz w:val="18"/>
                <w:szCs w:val="18"/>
                <w:lang w:val="es-ES"/>
              </w:rPr>
              <w:t>S</w:t>
            </w:r>
            <w:r>
              <w:rPr>
                <w:rFonts w:ascii="Arial" w:hAnsi="Arial" w:cs="Arial"/>
                <w:b/>
                <w:bCs/>
                <w:color w:val="000000"/>
                <w:sz w:val="18"/>
                <w:szCs w:val="18"/>
                <w:lang w:val="es-ES"/>
              </w:rPr>
              <w:t>aldo</w:t>
            </w:r>
            <w:r w:rsidRPr="00853FFB">
              <w:rPr>
                <w:rFonts w:ascii="Arial" w:hAnsi="Arial" w:cs="Arial"/>
                <w:b/>
                <w:bCs/>
                <w:color w:val="000000"/>
                <w:sz w:val="18"/>
                <w:szCs w:val="18"/>
                <w:lang w:val="es-ES"/>
              </w:rPr>
              <w:t xml:space="preserve"> (M</w:t>
            </w:r>
            <w:r>
              <w:rPr>
                <w:rFonts w:ascii="Arial" w:hAnsi="Arial" w:cs="Arial"/>
                <w:b/>
                <w:bCs/>
                <w:color w:val="000000"/>
                <w:sz w:val="18"/>
                <w:szCs w:val="18"/>
                <w:lang w:val="es-ES"/>
              </w:rPr>
              <w:t xml:space="preserve"> </w:t>
            </w:r>
            <w:r w:rsidRPr="00853FFB">
              <w:rPr>
                <w:rFonts w:ascii="Arial" w:hAnsi="Arial" w:cs="Arial"/>
                <w:b/>
                <w:bCs/>
                <w:color w:val="000000"/>
                <w:sz w:val="18"/>
                <w:szCs w:val="18"/>
                <w:lang w:val="es-ES"/>
              </w:rPr>
              <w:t>€)</w:t>
            </w:r>
          </w:p>
        </w:tc>
        <w:tc>
          <w:tcPr>
            <w:tcW w:w="1417" w:type="dxa"/>
            <w:tcBorders>
              <w:top w:val="single" w:sz="4" w:space="0" w:color="auto"/>
              <w:left w:val="nil"/>
              <w:bottom w:val="single" w:sz="4" w:space="0" w:color="auto"/>
              <w:right w:val="single" w:sz="4" w:space="0" w:color="auto"/>
            </w:tcBorders>
            <w:shd w:val="clear" w:color="000000" w:fill="CCFFFF"/>
            <w:noWrap/>
            <w:vAlign w:val="center"/>
            <w:hideMark/>
          </w:tcPr>
          <w:p w14:paraId="7237991B" w14:textId="77777777" w:rsidR="00D322B1" w:rsidRPr="00853FFB" w:rsidRDefault="00D322B1" w:rsidP="00D4710E">
            <w:pPr>
              <w:spacing w:line="276" w:lineRule="auto"/>
              <w:jc w:val="center"/>
              <w:rPr>
                <w:rFonts w:ascii="Arial" w:hAnsi="Arial" w:cs="Arial"/>
                <w:b/>
                <w:bCs/>
                <w:color w:val="000000"/>
                <w:sz w:val="18"/>
                <w:szCs w:val="18"/>
                <w:lang w:val="es-ES"/>
              </w:rPr>
            </w:pPr>
            <w:r w:rsidRPr="00853FFB">
              <w:rPr>
                <w:rFonts w:ascii="Arial" w:hAnsi="Arial" w:cs="Arial"/>
                <w:b/>
                <w:bCs/>
                <w:color w:val="000000"/>
                <w:sz w:val="18"/>
                <w:szCs w:val="18"/>
                <w:lang w:val="es-ES"/>
              </w:rPr>
              <w:t>T</w:t>
            </w:r>
            <w:r>
              <w:rPr>
                <w:rFonts w:ascii="Arial" w:hAnsi="Arial" w:cs="Arial"/>
                <w:b/>
                <w:bCs/>
                <w:color w:val="000000"/>
                <w:sz w:val="18"/>
                <w:szCs w:val="18"/>
                <w:lang w:val="es-ES"/>
              </w:rPr>
              <w:t>asa cobertura</w:t>
            </w:r>
            <w:r w:rsidRPr="00853FFB">
              <w:rPr>
                <w:rFonts w:ascii="Arial" w:hAnsi="Arial" w:cs="Arial"/>
                <w:b/>
                <w:bCs/>
                <w:color w:val="000000"/>
                <w:sz w:val="18"/>
                <w:szCs w:val="18"/>
                <w:lang w:val="es-ES"/>
              </w:rPr>
              <w:t xml:space="preserve"> (%)</w:t>
            </w:r>
          </w:p>
        </w:tc>
      </w:tr>
      <w:tr w:rsidR="00D322B1" w:rsidRPr="00A533A6" w14:paraId="7162DAC6" w14:textId="77777777" w:rsidTr="00D322B1">
        <w:trPr>
          <w:trHeight w:val="368"/>
        </w:trPr>
        <w:tc>
          <w:tcPr>
            <w:tcW w:w="3214" w:type="dxa"/>
            <w:tcBorders>
              <w:top w:val="single" w:sz="4" w:space="0" w:color="auto"/>
              <w:left w:val="single" w:sz="4" w:space="0" w:color="auto"/>
              <w:bottom w:val="nil"/>
              <w:right w:val="single" w:sz="4" w:space="0" w:color="auto"/>
            </w:tcBorders>
            <w:shd w:val="clear" w:color="auto" w:fill="auto"/>
            <w:noWrap/>
            <w:vAlign w:val="center"/>
            <w:hideMark/>
          </w:tcPr>
          <w:p w14:paraId="568EF9D6" w14:textId="77777777" w:rsidR="00D322B1" w:rsidRPr="00A533A6" w:rsidRDefault="00D322B1" w:rsidP="00D4710E">
            <w:pPr>
              <w:spacing w:line="276" w:lineRule="auto"/>
              <w:rPr>
                <w:rFonts w:ascii="Arial" w:hAnsi="Arial" w:cs="Arial"/>
                <w:color w:val="000000"/>
                <w:sz w:val="18"/>
                <w:szCs w:val="18"/>
                <w:lang w:val="es-ES"/>
              </w:rPr>
            </w:pPr>
            <w:r w:rsidRPr="00A533A6">
              <w:rPr>
                <w:rFonts w:ascii="Arial" w:hAnsi="Arial" w:cs="Arial"/>
                <w:color w:val="000000"/>
                <w:sz w:val="18"/>
                <w:szCs w:val="18"/>
                <w:lang w:val="es-ES"/>
              </w:rPr>
              <w:t>Comercio alimentario total</w:t>
            </w:r>
          </w:p>
        </w:tc>
        <w:tc>
          <w:tcPr>
            <w:tcW w:w="1426" w:type="dxa"/>
            <w:tcBorders>
              <w:top w:val="single" w:sz="4" w:space="0" w:color="auto"/>
              <w:left w:val="nil"/>
              <w:bottom w:val="nil"/>
              <w:right w:val="single" w:sz="4" w:space="0" w:color="auto"/>
            </w:tcBorders>
            <w:shd w:val="clear" w:color="auto" w:fill="auto"/>
            <w:noWrap/>
            <w:vAlign w:val="center"/>
            <w:hideMark/>
          </w:tcPr>
          <w:p w14:paraId="46136933"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45.939</w:t>
            </w:r>
          </w:p>
        </w:tc>
        <w:tc>
          <w:tcPr>
            <w:tcW w:w="1435" w:type="dxa"/>
            <w:tcBorders>
              <w:top w:val="single" w:sz="4" w:space="0" w:color="auto"/>
              <w:left w:val="nil"/>
              <w:bottom w:val="nil"/>
              <w:right w:val="single" w:sz="4" w:space="0" w:color="auto"/>
            </w:tcBorders>
            <w:shd w:val="clear" w:color="auto" w:fill="auto"/>
            <w:noWrap/>
            <w:vAlign w:val="center"/>
            <w:hideMark/>
          </w:tcPr>
          <w:p w14:paraId="71B796ED"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33.619</w:t>
            </w:r>
          </w:p>
        </w:tc>
        <w:tc>
          <w:tcPr>
            <w:tcW w:w="811" w:type="dxa"/>
            <w:tcBorders>
              <w:top w:val="single" w:sz="4" w:space="0" w:color="auto"/>
              <w:left w:val="nil"/>
              <w:bottom w:val="nil"/>
              <w:right w:val="single" w:sz="4" w:space="0" w:color="auto"/>
            </w:tcBorders>
            <w:shd w:val="clear" w:color="auto" w:fill="auto"/>
            <w:noWrap/>
            <w:vAlign w:val="center"/>
            <w:hideMark/>
          </w:tcPr>
          <w:p w14:paraId="2B25F44A"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12.320</w:t>
            </w:r>
          </w:p>
        </w:tc>
        <w:tc>
          <w:tcPr>
            <w:tcW w:w="1417" w:type="dxa"/>
            <w:tcBorders>
              <w:top w:val="single" w:sz="4" w:space="0" w:color="auto"/>
              <w:left w:val="nil"/>
              <w:bottom w:val="nil"/>
              <w:right w:val="single" w:sz="4" w:space="0" w:color="auto"/>
            </w:tcBorders>
            <w:shd w:val="clear" w:color="auto" w:fill="auto"/>
            <w:noWrap/>
            <w:vAlign w:val="center"/>
            <w:hideMark/>
          </w:tcPr>
          <w:p w14:paraId="6A198DD4"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137</w:t>
            </w:r>
          </w:p>
        </w:tc>
      </w:tr>
      <w:tr w:rsidR="00D322B1" w:rsidRPr="00A533A6" w14:paraId="6F02C3FD" w14:textId="77777777" w:rsidTr="00D322B1">
        <w:trPr>
          <w:trHeight w:val="167"/>
        </w:trPr>
        <w:tc>
          <w:tcPr>
            <w:tcW w:w="3214" w:type="dxa"/>
            <w:tcBorders>
              <w:top w:val="nil"/>
              <w:left w:val="single" w:sz="4" w:space="0" w:color="auto"/>
              <w:bottom w:val="nil"/>
              <w:right w:val="single" w:sz="4" w:space="0" w:color="auto"/>
            </w:tcBorders>
            <w:shd w:val="clear" w:color="auto" w:fill="auto"/>
            <w:noWrap/>
            <w:vAlign w:val="center"/>
            <w:hideMark/>
          </w:tcPr>
          <w:p w14:paraId="786FD92F" w14:textId="77777777" w:rsidR="00D322B1" w:rsidRPr="00853FFB" w:rsidRDefault="00D322B1" w:rsidP="00D4710E">
            <w:pPr>
              <w:spacing w:line="276" w:lineRule="auto"/>
              <w:rPr>
                <w:rFonts w:ascii="Arial" w:hAnsi="Arial" w:cs="Arial"/>
                <w:b/>
                <w:color w:val="000000"/>
                <w:sz w:val="18"/>
                <w:szCs w:val="18"/>
                <w:lang w:val="es-ES"/>
              </w:rPr>
            </w:pPr>
            <w:r w:rsidRPr="00A533A6">
              <w:rPr>
                <w:rFonts w:ascii="Arial" w:hAnsi="Arial" w:cs="Arial"/>
                <w:b/>
                <w:bCs/>
                <w:color w:val="000000"/>
                <w:sz w:val="18"/>
                <w:szCs w:val="18"/>
                <w:lang w:val="es-ES"/>
              </w:rPr>
              <w:t>Comercio alimentario transformado</w:t>
            </w:r>
          </w:p>
        </w:tc>
        <w:tc>
          <w:tcPr>
            <w:tcW w:w="1426" w:type="dxa"/>
            <w:tcBorders>
              <w:top w:val="nil"/>
              <w:left w:val="nil"/>
              <w:bottom w:val="nil"/>
              <w:right w:val="single" w:sz="4" w:space="0" w:color="auto"/>
            </w:tcBorders>
            <w:shd w:val="clear" w:color="auto" w:fill="auto"/>
            <w:noWrap/>
            <w:vAlign w:val="center"/>
            <w:hideMark/>
          </w:tcPr>
          <w:p w14:paraId="75EBD8A2" w14:textId="77777777" w:rsidR="00D322B1" w:rsidRPr="00853FFB" w:rsidRDefault="00D322B1" w:rsidP="00D4710E">
            <w:pPr>
              <w:spacing w:line="276" w:lineRule="auto"/>
              <w:ind w:left="-99" w:right="-4"/>
              <w:jc w:val="center"/>
              <w:rPr>
                <w:rFonts w:ascii="Arial" w:hAnsi="Arial" w:cs="Arial"/>
                <w:b/>
                <w:color w:val="000000"/>
                <w:sz w:val="18"/>
                <w:szCs w:val="18"/>
                <w:lang w:val="es-ES"/>
              </w:rPr>
            </w:pPr>
            <w:r w:rsidRPr="00CB4C41">
              <w:rPr>
                <w:rFonts w:ascii="Arial" w:hAnsi="Arial" w:cs="Arial"/>
                <w:b/>
                <w:bCs/>
                <w:color w:val="000000"/>
                <w:sz w:val="18"/>
                <w:szCs w:val="18"/>
                <w:lang w:val="es-ES"/>
              </w:rPr>
              <w:t>29.931</w:t>
            </w:r>
          </w:p>
        </w:tc>
        <w:tc>
          <w:tcPr>
            <w:tcW w:w="1435" w:type="dxa"/>
            <w:tcBorders>
              <w:top w:val="nil"/>
              <w:left w:val="nil"/>
              <w:bottom w:val="nil"/>
              <w:right w:val="single" w:sz="4" w:space="0" w:color="auto"/>
            </w:tcBorders>
            <w:shd w:val="clear" w:color="auto" w:fill="auto"/>
            <w:noWrap/>
            <w:vAlign w:val="center"/>
            <w:hideMark/>
          </w:tcPr>
          <w:p w14:paraId="73E2A2BA" w14:textId="77777777" w:rsidR="00D322B1" w:rsidRPr="00853FFB" w:rsidRDefault="00D322B1" w:rsidP="00D4710E">
            <w:pPr>
              <w:spacing w:line="276" w:lineRule="auto"/>
              <w:ind w:left="-99" w:right="-4"/>
              <w:jc w:val="center"/>
              <w:rPr>
                <w:rFonts w:ascii="Arial" w:hAnsi="Arial" w:cs="Arial"/>
                <w:b/>
                <w:color w:val="000000"/>
                <w:sz w:val="18"/>
                <w:szCs w:val="18"/>
                <w:lang w:val="es-ES"/>
              </w:rPr>
            </w:pPr>
            <w:r w:rsidRPr="00CB4C41">
              <w:rPr>
                <w:rFonts w:ascii="Arial" w:hAnsi="Arial" w:cs="Arial"/>
                <w:b/>
                <w:bCs/>
                <w:color w:val="000000"/>
                <w:sz w:val="18"/>
                <w:szCs w:val="18"/>
                <w:lang w:val="es-ES"/>
              </w:rPr>
              <w:t>22.218</w:t>
            </w:r>
          </w:p>
        </w:tc>
        <w:tc>
          <w:tcPr>
            <w:tcW w:w="811" w:type="dxa"/>
            <w:tcBorders>
              <w:top w:val="nil"/>
              <w:left w:val="nil"/>
              <w:bottom w:val="nil"/>
              <w:right w:val="single" w:sz="4" w:space="0" w:color="auto"/>
            </w:tcBorders>
            <w:shd w:val="clear" w:color="auto" w:fill="auto"/>
            <w:noWrap/>
            <w:vAlign w:val="center"/>
            <w:hideMark/>
          </w:tcPr>
          <w:p w14:paraId="5889BEB7" w14:textId="77777777" w:rsidR="00D322B1" w:rsidRPr="00853FFB" w:rsidRDefault="00D322B1" w:rsidP="00D4710E">
            <w:pPr>
              <w:spacing w:line="276" w:lineRule="auto"/>
              <w:ind w:left="-99" w:right="-4"/>
              <w:jc w:val="center"/>
              <w:rPr>
                <w:rFonts w:ascii="Arial" w:hAnsi="Arial" w:cs="Arial"/>
                <w:b/>
                <w:color w:val="000000"/>
                <w:sz w:val="18"/>
                <w:szCs w:val="18"/>
                <w:lang w:val="es-ES"/>
              </w:rPr>
            </w:pPr>
            <w:r w:rsidRPr="00CB4C41">
              <w:rPr>
                <w:rFonts w:ascii="Arial" w:hAnsi="Arial" w:cs="Arial"/>
                <w:b/>
                <w:bCs/>
                <w:color w:val="000000"/>
                <w:sz w:val="18"/>
                <w:szCs w:val="18"/>
                <w:lang w:val="es-ES"/>
              </w:rPr>
              <w:t>7.713</w:t>
            </w:r>
          </w:p>
        </w:tc>
        <w:tc>
          <w:tcPr>
            <w:tcW w:w="1417" w:type="dxa"/>
            <w:tcBorders>
              <w:top w:val="nil"/>
              <w:left w:val="nil"/>
              <w:bottom w:val="nil"/>
              <w:right w:val="single" w:sz="4" w:space="0" w:color="auto"/>
            </w:tcBorders>
            <w:shd w:val="clear" w:color="auto" w:fill="auto"/>
            <w:noWrap/>
            <w:vAlign w:val="center"/>
            <w:hideMark/>
          </w:tcPr>
          <w:p w14:paraId="37666A24" w14:textId="77777777" w:rsidR="00D322B1" w:rsidRPr="00853FFB" w:rsidRDefault="00D322B1" w:rsidP="00D4710E">
            <w:pPr>
              <w:spacing w:line="276" w:lineRule="auto"/>
              <w:ind w:left="-99" w:right="-4"/>
              <w:jc w:val="center"/>
              <w:rPr>
                <w:rFonts w:ascii="Arial" w:hAnsi="Arial" w:cs="Arial"/>
                <w:b/>
                <w:color w:val="000000"/>
                <w:sz w:val="18"/>
                <w:szCs w:val="18"/>
                <w:lang w:val="es-ES"/>
              </w:rPr>
            </w:pPr>
            <w:r w:rsidRPr="00CB4C41">
              <w:rPr>
                <w:rFonts w:ascii="Arial" w:hAnsi="Arial" w:cs="Arial"/>
                <w:b/>
                <w:bCs/>
                <w:color w:val="000000"/>
                <w:sz w:val="18"/>
                <w:szCs w:val="18"/>
                <w:lang w:val="es-ES"/>
              </w:rPr>
              <w:t>135</w:t>
            </w:r>
          </w:p>
        </w:tc>
      </w:tr>
      <w:tr w:rsidR="00D322B1" w:rsidRPr="00A533A6" w14:paraId="7AE16CE5" w14:textId="77777777" w:rsidTr="00D322B1">
        <w:trPr>
          <w:trHeight w:val="383"/>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825A3BD" w14:textId="77777777" w:rsidR="00D322B1" w:rsidRPr="00853FFB" w:rsidRDefault="00D322B1" w:rsidP="00D4710E">
            <w:pPr>
              <w:spacing w:line="276" w:lineRule="auto"/>
              <w:rPr>
                <w:rFonts w:ascii="Arial" w:hAnsi="Arial" w:cs="Arial"/>
                <w:color w:val="000000"/>
                <w:sz w:val="18"/>
                <w:szCs w:val="18"/>
                <w:lang w:val="es-ES"/>
              </w:rPr>
            </w:pPr>
            <w:r w:rsidRPr="00A533A6">
              <w:rPr>
                <w:rFonts w:ascii="Arial" w:hAnsi="Arial" w:cs="Arial"/>
                <w:bCs/>
                <w:color w:val="000000"/>
                <w:sz w:val="18"/>
                <w:szCs w:val="18"/>
                <w:lang w:val="es-ES"/>
              </w:rPr>
              <w:t>Comercio alimentario no transformado</w:t>
            </w:r>
          </w:p>
        </w:tc>
        <w:tc>
          <w:tcPr>
            <w:tcW w:w="1426" w:type="dxa"/>
            <w:tcBorders>
              <w:top w:val="nil"/>
              <w:left w:val="nil"/>
              <w:bottom w:val="single" w:sz="4" w:space="0" w:color="auto"/>
              <w:right w:val="single" w:sz="4" w:space="0" w:color="auto"/>
            </w:tcBorders>
            <w:shd w:val="clear" w:color="auto" w:fill="auto"/>
            <w:noWrap/>
            <w:vAlign w:val="center"/>
            <w:hideMark/>
          </w:tcPr>
          <w:p w14:paraId="370779FB"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16.007</w:t>
            </w:r>
          </w:p>
        </w:tc>
        <w:tc>
          <w:tcPr>
            <w:tcW w:w="1435" w:type="dxa"/>
            <w:tcBorders>
              <w:top w:val="nil"/>
              <w:left w:val="nil"/>
              <w:bottom w:val="single" w:sz="4" w:space="0" w:color="auto"/>
              <w:right w:val="single" w:sz="4" w:space="0" w:color="auto"/>
            </w:tcBorders>
            <w:shd w:val="clear" w:color="auto" w:fill="auto"/>
            <w:noWrap/>
            <w:vAlign w:val="center"/>
            <w:hideMark/>
          </w:tcPr>
          <w:p w14:paraId="34DF5060"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11.401</w:t>
            </w:r>
          </w:p>
        </w:tc>
        <w:tc>
          <w:tcPr>
            <w:tcW w:w="811" w:type="dxa"/>
            <w:tcBorders>
              <w:top w:val="nil"/>
              <w:left w:val="nil"/>
              <w:bottom w:val="single" w:sz="4" w:space="0" w:color="auto"/>
              <w:right w:val="single" w:sz="4" w:space="0" w:color="auto"/>
            </w:tcBorders>
            <w:shd w:val="clear" w:color="auto" w:fill="auto"/>
            <w:noWrap/>
            <w:vAlign w:val="center"/>
            <w:hideMark/>
          </w:tcPr>
          <w:p w14:paraId="761B4392"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4.607</w:t>
            </w:r>
          </w:p>
        </w:tc>
        <w:tc>
          <w:tcPr>
            <w:tcW w:w="1417" w:type="dxa"/>
            <w:tcBorders>
              <w:top w:val="nil"/>
              <w:left w:val="nil"/>
              <w:bottom w:val="single" w:sz="4" w:space="0" w:color="auto"/>
              <w:right w:val="single" w:sz="4" w:space="0" w:color="auto"/>
            </w:tcBorders>
            <w:shd w:val="clear" w:color="auto" w:fill="auto"/>
            <w:noWrap/>
            <w:vAlign w:val="center"/>
            <w:hideMark/>
          </w:tcPr>
          <w:p w14:paraId="0EFC29EF" w14:textId="77777777" w:rsidR="00D322B1" w:rsidRPr="00853FFB" w:rsidRDefault="00D322B1" w:rsidP="00D4710E">
            <w:pPr>
              <w:spacing w:line="276" w:lineRule="auto"/>
              <w:ind w:left="-99" w:right="-4"/>
              <w:jc w:val="center"/>
              <w:rPr>
                <w:rFonts w:ascii="Arial" w:hAnsi="Arial" w:cs="Arial"/>
                <w:color w:val="000000"/>
                <w:sz w:val="18"/>
                <w:szCs w:val="18"/>
                <w:lang w:val="es-ES"/>
              </w:rPr>
            </w:pPr>
            <w:r w:rsidRPr="00CB4C41">
              <w:rPr>
                <w:rFonts w:ascii="Arial" w:hAnsi="Arial" w:cs="Arial"/>
                <w:bCs/>
                <w:color w:val="000000"/>
                <w:sz w:val="18"/>
                <w:szCs w:val="18"/>
                <w:lang w:val="es-ES"/>
              </w:rPr>
              <w:t>140</w:t>
            </w:r>
          </w:p>
        </w:tc>
      </w:tr>
    </w:tbl>
    <w:p w14:paraId="351B7A70" w14:textId="77777777" w:rsidR="00D322B1" w:rsidRPr="00853FFB" w:rsidRDefault="00D322B1" w:rsidP="00D4710E">
      <w:pPr>
        <w:spacing w:line="276" w:lineRule="auto"/>
        <w:ind w:left="142" w:right="-143"/>
        <w:jc w:val="both"/>
        <w:rPr>
          <w:rStyle w:val="Hipervnculo"/>
          <w:rFonts w:ascii="Arial" w:hAnsi="Arial" w:cs="Arial"/>
          <w:sz w:val="16"/>
          <w:szCs w:val="16"/>
        </w:rPr>
      </w:pPr>
      <w:r w:rsidRPr="00A533A6">
        <w:rPr>
          <w:rFonts w:ascii="Arial" w:hAnsi="Arial" w:cs="Arial"/>
          <w:b/>
          <w:sz w:val="16"/>
          <w:szCs w:val="16"/>
        </w:rPr>
        <w:t xml:space="preserve">Fuente: </w:t>
      </w:r>
      <w:r w:rsidRPr="00A533A6">
        <w:rPr>
          <w:rFonts w:ascii="Arial" w:hAnsi="Arial" w:cs="Arial"/>
          <w:sz w:val="16"/>
          <w:szCs w:val="16"/>
        </w:rPr>
        <w:t xml:space="preserve">Departamento de Aduanas e Impuestos Especiales. Año 2018. Comercio Alimentarlo Transformado: Partidas TARIC: 02, 04, 09, 11, 15, 16, 17, 18, 19, 20, 21, 22, 23 y parte de partidas 03, 05, 07, 08, 10, 12 y 35. Según MAPA: </w:t>
      </w:r>
      <w:hyperlink r:id="rId27" w:history="1">
        <w:r w:rsidRPr="00853FFB">
          <w:rPr>
            <w:rStyle w:val="Hipervnculo"/>
            <w:rFonts w:ascii="Arial" w:hAnsi="Arial" w:cs="Arial"/>
            <w:sz w:val="16"/>
            <w:szCs w:val="16"/>
          </w:rPr>
          <w:t>https://www.mapa.gob.es/es/ministerio/servicios/analisis-y-prospectiva/notametodologica2018_tcm30-381433.pdf</w:t>
        </w:r>
      </w:hyperlink>
    </w:p>
    <w:p w14:paraId="7A34EE3B" w14:textId="77777777" w:rsidR="00D322B1" w:rsidRDefault="00D322B1" w:rsidP="00D4710E">
      <w:pPr>
        <w:spacing w:line="276" w:lineRule="auto"/>
        <w:ind w:right="-46"/>
        <w:jc w:val="both"/>
        <w:rPr>
          <w:rFonts w:ascii="Arial" w:hAnsi="Arial" w:cs="Arial"/>
          <w:sz w:val="18"/>
          <w:szCs w:val="18"/>
        </w:rPr>
      </w:pPr>
    </w:p>
    <w:p w14:paraId="552D6D0F" w14:textId="77777777" w:rsidR="00801763" w:rsidRPr="00C5604C" w:rsidRDefault="00801763" w:rsidP="00D4710E">
      <w:pPr>
        <w:spacing w:line="276" w:lineRule="auto"/>
        <w:ind w:right="-46"/>
        <w:jc w:val="both"/>
        <w:rPr>
          <w:rFonts w:ascii="Arial" w:hAnsi="Arial" w:cs="Arial"/>
          <w:sz w:val="18"/>
          <w:szCs w:val="18"/>
        </w:rPr>
      </w:pPr>
    </w:p>
    <w:tbl>
      <w:tblPr>
        <w:tblW w:w="8363" w:type="dxa"/>
        <w:tblInd w:w="142" w:type="dxa"/>
        <w:tblLayout w:type="fixed"/>
        <w:tblCellMar>
          <w:left w:w="70" w:type="dxa"/>
          <w:right w:w="70" w:type="dxa"/>
        </w:tblCellMar>
        <w:tblLook w:val="0000" w:firstRow="0" w:lastRow="0" w:firstColumn="0" w:lastColumn="0" w:noHBand="0" w:noVBand="0"/>
      </w:tblPr>
      <w:tblGrid>
        <w:gridCol w:w="3544"/>
        <w:gridCol w:w="2410"/>
        <w:gridCol w:w="2409"/>
      </w:tblGrid>
      <w:tr w:rsidR="00D322B1" w:rsidRPr="003C010E" w14:paraId="627FE8F2" w14:textId="77777777" w:rsidTr="00D322B1">
        <w:trPr>
          <w:trHeight w:val="645"/>
        </w:trPr>
        <w:tc>
          <w:tcPr>
            <w:tcW w:w="8363" w:type="dxa"/>
            <w:gridSpan w:val="3"/>
            <w:tcBorders>
              <w:bottom w:val="single" w:sz="4" w:space="0" w:color="auto"/>
            </w:tcBorders>
            <w:shd w:val="clear" w:color="auto" w:fill="FFFF99"/>
            <w:noWrap/>
            <w:vAlign w:val="center"/>
          </w:tcPr>
          <w:p w14:paraId="5BA43B94" w14:textId="77777777" w:rsidR="00D322B1" w:rsidRPr="00660784" w:rsidRDefault="00D322B1" w:rsidP="00D4710E">
            <w:pPr>
              <w:spacing w:before="60" w:line="276" w:lineRule="auto"/>
              <w:jc w:val="center"/>
              <w:rPr>
                <w:rFonts w:ascii="Arial" w:hAnsi="Arial" w:cs="Arial"/>
                <w:b/>
                <w:sz w:val="18"/>
                <w:szCs w:val="18"/>
              </w:rPr>
            </w:pPr>
            <w:r w:rsidRPr="00660784">
              <w:rPr>
                <w:rFonts w:ascii="Arial" w:hAnsi="Arial" w:cs="Arial"/>
                <w:b/>
                <w:sz w:val="18"/>
                <w:szCs w:val="18"/>
              </w:rPr>
              <w:t>COMERCIO EXTERIOR DE LA INDUSTRIA ALIMENTARIA 2018</w:t>
            </w:r>
          </w:p>
          <w:p w14:paraId="468E7734" w14:textId="77777777" w:rsidR="00D322B1" w:rsidRPr="00660784" w:rsidRDefault="00D322B1" w:rsidP="00D4710E">
            <w:pPr>
              <w:spacing w:before="60" w:line="276" w:lineRule="auto"/>
              <w:jc w:val="center"/>
              <w:rPr>
                <w:rFonts w:ascii="Arial" w:hAnsi="Arial" w:cs="Arial"/>
                <w:b/>
                <w:sz w:val="18"/>
                <w:szCs w:val="18"/>
              </w:rPr>
            </w:pPr>
            <w:r w:rsidRPr="00A91EAE">
              <w:rPr>
                <w:rFonts w:ascii="Arial" w:hAnsi="Arial" w:cs="Arial"/>
                <w:b/>
                <w:sz w:val="18"/>
                <w:szCs w:val="18"/>
              </w:rPr>
              <w:t xml:space="preserve"> POR SUBSECTORES</w:t>
            </w:r>
            <w:r w:rsidRPr="00660784">
              <w:rPr>
                <w:rStyle w:val="Refdenotaalpie"/>
                <w:rFonts w:ascii="Arial" w:hAnsi="Arial" w:cs="Arial"/>
                <w:b/>
                <w:sz w:val="18"/>
                <w:szCs w:val="18"/>
              </w:rPr>
              <w:footnoteReference w:id="10"/>
            </w:r>
          </w:p>
        </w:tc>
      </w:tr>
      <w:tr w:rsidR="00D322B1" w:rsidRPr="006A6196" w14:paraId="09E5ADC2" w14:textId="77777777" w:rsidTr="00D322B1">
        <w:trPr>
          <w:trHeight w:val="397"/>
        </w:trPr>
        <w:tc>
          <w:tcPr>
            <w:tcW w:w="354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0186AB2" w14:textId="77777777" w:rsidR="00D322B1" w:rsidRPr="00C5604C" w:rsidRDefault="00D322B1" w:rsidP="00D4710E">
            <w:pPr>
              <w:spacing w:line="276" w:lineRule="auto"/>
              <w:jc w:val="center"/>
              <w:rPr>
                <w:rFonts w:ascii="Arial" w:hAnsi="Arial" w:cs="Arial"/>
                <w:b/>
                <w:bCs/>
                <w:color w:val="000000"/>
                <w:sz w:val="18"/>
                <w:szCs w:val="18"/>
              </w:rPr>
            </w:pPr>
            <w:r w:rsidRPr="00C5604C">
              <w:rPr>
                <w:rFonts w:ascii="Arial" w:hAnsi="Arial" w:cs="Arial"/>
                <w:b/>
                <w:bCs/>
                <w:color w:val="000000"/>
                <w:sz w:val="18"/>
                <w:szCs w:val="18"/>
              </w:rPr>
              <w:t>ESPAÑA - TOTAL PAÍSES</w:t>
            </w:r>
          </w:p>
        </w:tc>
        <w:tc>
          <w:tcPr>
            <w:tcW w:w="2410" w:type="dxa"/>
            <w:tcBorders>
              <w:top w:val="single" w:sz="4" w:space="0" w:color="auto"/>
              <w:left w:val="nil"/>
              <w:bottom w:val="single" w:sz="4" w:space="0" w:color="auto"/>
              <w:right w:val="single" w:sz="4" w:space="0" w:color="auto"/>
            </w:tcBorders>
            <w:shd w:val="clear" w:color="auto" w:fill="CCFFFF"/>
            <w:noWrap/>
            <w:vAlign w:val="center"/>
          </w:tcPr>
          <w:p w14:paraId="23C22640" w14:textId="77777777" w:rsidR="00D322B1" w:rsidRPr="00C5604C" w:rsidRDefault="00D322B1" w:rsidP="00D4710E">
            <w:pPr>
              <w:spacing w:line="276" w:lineRule="auto"/>
              <w:jc w:val="center"/>
              <w:rPr>
                <w:rFonts w:ascii="Arial" w:hAnsi="Arial" w:cs="Arial"/>
                <w:b/>
                <w:bCs/>
                <w:color w:val="000000"/>
                <w:sz w:val="18"/>
                <w:szCs w:val="18"/>
              </w:rPr>
            </w:pPr>
            <w:r w:rsidRPr="00C5604C">
              <w:rPr>
                <w:rFonts w:ascii="Arial" w:hAnsi="Arial" w:cs="Arial"/>
                <w:b/>
                <w:bCs/>
                <w:color w:val="000000"/>
                <w:sz w:val="18"/>
                <w:szCs w:val="18"/>
              </w:rPr>
              <w:t>EXPORTACIONES (M €)</w:t>
            </w:r>
          </w:p>
        </w:tc>
        <w:tc>
          <w:tcPr>
            <w:tcW w:w="2409" w:type="dxa"/>
            <w:tcBorders>
              <w:top w:val="single" w:sz="4" w:space="0" w:color="auto"/>
              <w:left w:val="nil"/>
              <w:bottom w:val="single" w:sz="4" w:space="0" w:color="auto"/>
              <w:right w:val="single" w:sz="4" w:space="0" w:color="auto"/>
            </w:tcBorders>
            <w:shd w:val="clear" w:color="auto" w:fill="CCFFFF"/>
            <w:noWrap/>
            <w:vAlign w:val="center"/>
          </w:tcPr>
          <w:p w14:paraId="6A423B31" w14:textId="77777777" w:rsidR="00D322B1" w:rsidRPr="00C5604C" w:rsidRDefault="00D322B1" w:rsidP="00D4710E">
            <w:pPr>
              <w:spacing w:line="276" w:lineRule="auto"/>
              <w:jc w:val="center"/>
              <w:rPr>
                <w:rFonts w:ascii="Arial" w:hAnsi="Arial" w:cs="Arial"/>
                <w:b/>
                <w:bCs/>
                <w:color w:val="000000"/>
                <w:sz w:val="18"/>
                <w:szCs w:val="18"/>
              </w:rPr>
            </w:pPr>
            <w:r w:rsidRPr="00C5604C">
              <w:rPr>
                <w:rFonts w:ascii="Arial" w:hAnsi="Arial" w:cs="Arial"/>
                <w:b/>
                <w:bCs/>
                <w:color w:val="000000"/>
                <w:sz w:val="18"/>
                <w:szCs w:val="18"/>
              </w:rPr>
              <w:t>IMPORTACIONES (M €)</w:t>
            </w:r>
          </w:p>
        </w:tc>
      </w:tr>
      <w:tr w:rsidR="00D322B1" w:rsidRPr="00A533A6" w14:paraId="66E1AA29" w14:textId="77777777" w:rsidTr="00D322B1">
        <w:trPr>
          <w:trHeight w:val="298"/>
        </w:trPr>
        <w:tc>
          <w:tcPr>
            <w:tcW w:w="3544" w:type="dxa"/>
            <w:tcBorders>
              <w:top w:val="single" w:sz="4" w:space="0" w:color="auto"/>
              <w:left w:val="single" w:sz="4" w:space="0" w:color="auto"/>
              <w:bottom w:val="nil"/>
              <w:right w:val="single" w:sz="4" w:space="0" w:color="auto"/>
            </w:tcBorders>
            <w:shd w:val="clear" w:color="auto" w:fill="auto"/>
            <w:noWrap/>
            <w:vAlign w:val="center"/>
          </w:tcPr>
          <w:p w14:paraId="4B478E9E"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Industria cárnica</w:t>
            </w:r>
          </w:p>
        </w:tc>
        <w:tc>
          <w:tcPr>
            <w:tcW w:w="2410" w:type="dxa"/>
            <w:tcBorders>
              <w:top w:val="single" w:sz="4" w:space="0" w:color="auto"/>
              <w:left w:val="nil"/>
              <w:bottom w:val="nil"/>
              <w:right w:val="single" w:sz="4" w:space="0" w:color="auto"/>
            </w:tcBorders>
            <w:shd w:val="clear" w:color="auto" w:fill="auto"/>
            <w:noWrap/>
            <w:vAlign w:val="center"/>
          </w:tcPr>
          <w:p w14:paraId="13372482"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6.179</w:t>
            </w:r>
          </w:p>
        </w:tc>
        <w:tc>
          <w:tcPr>
            <w:tcW w:w="2409" w:type="dxa"/>
            <w:tcBorders>
              <w:top w:val="single" w:sz="4" w:space="0" w:color="auto"/>
              <w:left w:val="nil"/>
              <w:bottom w:val="nil"/>
              <w:right w:val="single" w:sz="4" w:space="0" w:color="auto"/>
            </w:tcBorders>
            <w:shd w:val="clear" w:color="auto" w:fill="auto"/>
            <w:noWrap/>
            <w:vAlign w:val="center"/>
          </w:tcPr>
          <w:p w14:paraId="4580524A"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1.649</w:t>
            </w:r>
          </w:p>
        </w:tc>
      </w:tr>
      <w:tr w:rsidR="00D322B1" w:rsidRPr="00A533A6" w14:paraId="43844243"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7A49D975"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Industria del pescado</w:t>
            </w:r>
          </w:p>
        </w:tc>
        <w:tc>
          <w:tcPr>
            <w:tcW w:w="2410" w:type="dxa"/>
            <w:tcBorders>
              <w:top w:val="nil"/>
              <w:left w:val="nil"/>
              <w:bottom w:val="nil"/>
              <w:right w:val="single" w:sz="4" w:space="0" w:color="auto"/>
            </w:tcBorders>
            <w:shd w:val="clear" w:color="auto" w:fill="auto"/>
            <w:noWrap/>
            <w:vAlign w:val="center"/>
          </w:tcPr>
          <w:p w14:paraId="7E28534A"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4.183</w:t>
            </w:r>
          </w:p>
        </w:tc>
        <w:tc>
          <w:tcPr>
            <w:tcW w:w="2409" w:type="dxa"/>
            <w:tcBorders>
              <w:top w:val="nil"/>
              <w:left w:val="nil"/>
              <w:bottom w:val="nil"/>
              <w:right w:val="single" w:sz="4" w:space="0" w:color="auto"/>
            </w:tcBorders>
            <w:shd w:val="clear" w:color="auto" w:fill="auto"/>
            <w:noWrap/>
            <w:vAlign w:val="center"/>
          </w:tcPr>
          <w:p w14:paraId="6C102C66"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7.166</w:t>
            </w:r>
          </w:p>
        </w:tc>
      </w:tr>
      <w:tr w:rsidR="00D322B1" w:rsidRPr="00A533A6" w14:paraId="6A991105"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43EECBE5" w14:textId="77777777" w:rsidR="00D322B1" w:rsidRPr="00C5604C" w:rsidRDefault="00D322B1" w:rsidP="00D4710E">
            <w:pPr>
              <w:spacing w:line="276" w:lineRule="auto"/>
              <w:rPr>
                <w:rFonts w:ascii="Arial" w:hAnsi="Arial" w:cs="Arial"/>
                <w:sz w:val="18"/>
                <w:szCs w:val="18"/>
              </w:rPr>
            </w:pPr>
            <w:proofErr w:type="spellStart"/>
            <w:r w:rsidRPr="00C5604C">
              <w:rPr>
                <w:rFonts w:ascii="Arial" w:hAnsi="Arial" w:cs="Arial"/>
                <w:sz w:val="18"/>
                <w:szCs w:val="18"/>
              </w:rPr>
              <w:t>Prep</w:t>
            </w:r>
            <w:proofErr w:type="spellEnd"/>
            <w:r w:rsidRPr="00C5604C">
              <w:rPr>
                <w:rFonts w:ascii="Arial" w:hAnsi="Arial" w:cs="Arial"/>
                <w:sz w:val="18"/>
                <w:szCs w:val="18"/>
              </w:rPr>
              <w:t>. y conservación frutas y hortalizas</w:t>
            </w:r>
          </w:p>
        </w:tc>
        <w:tc>
          <w:tcPr>
            <w:tcW w:w="2410" w:type="dxa"/>
            <w:tcBorders>
              <w:top w:val="nil"/>
              <w:left w:val="nil"/>
              <w:bottom w:val="nil"/>
              <w:right w:val="single" w:sz="4" w:space="0" w:color="auto"/>
            </w:tcBorders>
            <w:shd w:val="clear" w:color="auto" w:fill="auto"/>
            <w:noWrap/>
            <w:vAlign w:val="center"/>
          </w:tcPr>
          <w:p w14:paraId="3B10FBF0"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2.946</w:t>
            </w:r>
          </w:p>
        </w:tc>
        <w:tc>
          <w:tcPr>
            <w:tcW w:w="2409" w:type="dxa"/>
            <w:tcBorders>
              <w:top w:val="nil"/>
              <w:left w:val="nil"/>
              <w:bottom w:val="nil"/>
              <w:right w:val="single" w:sz="4" w:space="0" w:color="auto"/>
            </w:tcBorders>
            <w:shd w:val="clear" w:color="auto" w:fill="auto"/>
            <w:noWrap/>
            <w:vAlign w:val="center"/>
          </w:tcPr>
          <w:p w14:paraId="159E07AC"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1.231</w:t>
            </w:r>
          </w:p>
        </w:tc>
      </w:tr>
      <w:tr w:rsidR="00D322B1" w:rsidRPr="00A533A6" w14:paraId="0D27C7F2"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0D2EEE39"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Aceites y grasas</w:t>
            </w:r>
          </w:p>
        </w:tc>
        <w:tc>
          <w:tcPr>
            <w:tcW w:w="2410" w:type="dxa"/>
            <w:tcBorders>
              <w:top w:val="nil"/>
              <w:left w:val="nil"/>
              <w:bottom w:val="nil"/>
              <w:right w:val="single" w:sz="4" w:space="0" w:color="auto"/>
            </w:tcBorders>
            <w:shd w:val="clear" w:color="auto" w:fill="auto"/>
            <w:noWrap/>
            <w:vAlign w:val="center"/>
          </w:tcPr>
          <w:p w14:paraId="5C75A86B"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4.338</w:t>
            </w:r>
          </w:p>
        </w:tc>
        <w:tc>
          <w:tcPr>
            <w:tcW w:w="2409" w:type="dxa"/>
            <w:tcBorders>
              <w:top w:val="nil"/>
              <w:left w:val="nil"/>
              <w:bottom w:val="nil"/>
              <w:right w:val="single" w:sz="4" w:space="0" w:color="auto"/>
            </w:tcBorders>
            <w:shd w:val="clear" w:color="auto" w:fill="auto"/>
            <w:noWrap/>
            <w:vAlign w:val="center"/>
          </w:tcPr>
          <w:p w14:paraId="28CAF50D"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2.731</w:t>
            </w:r>
          </w:p>
        </w:tc>
      </w:tr>
      <w:tr w:rsidR="00D322B1" w:rsidRPr="00A533A6" w14:paraId="6A68F8A9"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4A2E48AF"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Productos lácteos</w:t>
            </w:r>
          </w:p>
        </w:tc>
        <w:tc>
          <w:tcPr>
            <w:tcW w:w="2410" w:type="dxa"/>
            <w:tcBorders>
              <w:top w:val="nil"/>
              <w:left w:val="nil"/>
              <w:bottom w:val="nil"/>
              <w:right w:val="single" w:sz="4" w:space="0" w:color="auto"/>
            </w:tcBorders>
            <w:shd w:val="clear" w:color="auto" w:fill="auto"/>
            <w:noWrap/>
            <w:vAlign w:val="center"/>
          </w:tcPr>
          <w:p w14:paraId="6CA73D22"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1.117</w:t>
            </w:r>
          </w:p>
        </w:tc>
        <w:tc>
          <w:tcPr>
            <w:tcW w:w="2409" w:type="dxa"/>
            <w:tcBorders>
              <w:top w:val="nil"/>
              <w:left w:val="nil"/>
              <w:bottom w:val="nil"/>
              <w:right w:val="single" w:sz="4" w:space="0" w:color="auto"/>
            </w:tcBorders>
            <w:shd w:val="clear" w:color="auto" w:fill="auto"/>
            <w:noWrap/>
            <w:vAlign w:val="center"/>
          </w:tcPr>
          <w:p w14:paraId="66E14034"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1.703</w:t>
            </w:r>
          </w:p>
        </w:tc>
      </w:tr>
      <w:tr w:rsidR="00D322B1" w:rsidRPr="00A533A6" w14:paraId="13FE1086" w14:textId="77777777" w:rsidTr="00D322B1">
        <w:trPr>
          <w:trHeight w:val="279"/>
        </w:trPr>
        <w:tc>
          <w:tcPr>
            <w:tcW w:w="3544" w:type="dxa"/>
            <w:tcBorders>
              <w:top w:val="nil"/>
              <w:left w:val="single" w:sz="4" w:space="0" w:color="auto"/>
              <w:bottom w:val="nil"/>
              <w:right w:val="single" w:sz="4" w:space="0" w:color="auto"/>
            </w:tcBorders>
            <w:shd w:val="clear" w:color="auto" w:fill="auto"/>
            <w:noWrap/>
            <w:vAlign w:val="center"/>
          </w:tcPr>
          <w:p w14:paraId="58184934"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Molinería y almidones</w:t>
            </w:r>
          </w:p>
        </w:tc>
        <w:tc>
          <w:tcPr>
            <w:tcW w:w="2410" w:type="dxa"/>
            <w:tcBorders>
              <w:top w:val="nil"/>
              <w:left w:val="nil"/>
              <w:bottom w:val="nil"/>
              <w:right w:val="single" w:sz="4" w:space="0" w:color="auto"/>
            </w:tcBorders>
            <w:shd w:val="clear" w:color="auto" w:fill="auto"/>
            <w:noWrap/>
            <w:vAlign w:val="center"/>
          </w:tcPr>
          <w:p w14:paraId="36BD399E"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248</w:t>
            </w:r>
          </w:p>
        </w:tc>
        <w:tc>
          <w:tcPr>
            <w:tcW w:w="2409" w:type="dxa"/>
            <w:tcBorders>
              <w:top w:val="nil"/>
              <w:left w:val="nil"/>
              <w:bottom w:val="nil"/>
              <w:right w:val="single" w:sz="4" w:space="0" w:color="auto"/>
            </w:tcBorders>
            <w:shd w:val="clear" w:color="auto" w:fill="auto"/>
            <w:noWrap/>
            <w:vAlign w:val="center"/>
          </w:tcPr>
          <w:p w14:paraId="14582131"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203</w:t>
            </w:r>
          </w:p>
        </w:tc>
      </w:tr>
      <w:tr w:rsidR="00D322B1" w:rsidRPr="00A533A6" w14:paraId="558A2C40"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14CC8F3E"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Panadería y pastas alimenticias</w:t>
            </w:r>
          </w:p>
        </w:tc>
        <w:tc>
          <w:tcPr>
            <w:tcW w:w="2410" w:type="dxa"/>
            <w:tcBorders>
              <w:top w:val="nil"/>
              <w:left w:val="nil"/>
              <w:bottom w:val="nil"/>
              <w:right w:val="single" w:sz="4" w:space="0" w:color="auto"/>
            </w:tcBorders>
            <w:shd w:val="clear" w:color="auto" w:fill="auto"/>
            <w:noWrap/>
            <w:vAlign w:val="center"/>
          </w:tcPr>
          <w:p w14:paraId="069FF799"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1.682</w:t>
            </w:r>
          </w:p>
        </w:tc>
        <w:tc>
          <w:tcPr>
            <w:tcW w:w="2409" w:type="dxa"/>
            <w:tcBorders>
              <w:top w:val="nil"/>
              <w:left w:val="nil"/>
              <w:bottom w:val="nil"/>
              <w:right w:val="single" w:sz="4" w:space="0" w:color="auto"/>
            </w:tcBorders>
            <w:shd w:val="clear" w:color="auto" w:fill="auto"/>
            <w:noWrap/>
            <w:vAlign w:val="center"/>
          </w:tcPr>
          <w:p w14:paraId="41EA534B"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1.363</w:t>
            </w:r>
          </w:p>
        </w:tc>
      </w:tr>
      <w:tr w:rsidR="00D322B1" w:rsidRPr="00A533A6" w14:paraId="49639ED6"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30D08272"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Azúcar, café, té, infusiones y confitería</w:t>
            </w:r>
          </w:p>
        </w:tc>
        <w:tc>
          <w:tcPr>
            <w:tcW w:w="2410" w:type="dxa"/>
            <w:tcBorders>
              <w:top w:val="nil"/>
              <w:left w:val="nil"/>
              <w:bottom w:val="nil"/>
              <w:right w:val="single" w:sz="4" w:space="0" w:color="auto"/>
            </w:tcBorders>
            <w:shd w:val="clear" w:color="auto" w:fill="auto"/>
            <w:noWrap/>
            <w:vAlign w:val="center"/>
          </w:tcPr>
          <w:p w14:paraId="4A29182B"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1.722</w:t>
            </w:r>
          </w:p>
        </w:tc>
        <w:tc>
          <w:tcPr>
            <w:tcW w:w="2409" w:type="dxa"/>
            <w:tcBorders>
              <w:top w:val="nil"/>
              <w:left w:val="nil"/>
              <w:bottom w:val="nil"/>
              <w:right w:val="single" w:sz="4" w:space="0" w:color="auto"/>
            </w:tcBorders>
            <w:shd w:val="clear" w:color="auto" w:fill="auto"/>
            <w:noWrap/>
            <w:vAlign w:val="center"/>
          </w:tcPr>
          <w:p w14:paraId="259111C6"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2.747</w:t>
            </w:r>
          </w:p>
        </w:tc>
      </w:tr>
      <w:tr w:rsidR="00D322B1" w:rsidRPr="00A533A6" w14:paraId="77A6BC60"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0DD163A4"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Otros productos diversos</w:t>
            </w:r>
          </w:p>
        </w:tc>
        <w:tc>
          <w:tcPr>
            <w:tcW w:w="2410" w:type="dxa"/>
            <w:tcBorders>
              <w:top w:val="nil"/>
              <w:left w:val="nil"/>
              <w:bottom w:val="nil"/>
              <w:right w:val="single" w:sz="4" w:space="0" w:color="auto"/>
            </w:tcBorders>
            <w:shd w:val="clear" w:color="auto" w:fill="auto"/>
            <w:noWrap/>
            <w:vAlign w:val="center"/>
          </w:tcPr>
          <w:p w14:paraId="34E853A2"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1.882</w:t>
            </w:r>
          </w:p>
        </w:tc>
        <w:tc>
          <w:tcPr>
            <w:tcW w:w="2409" w:type="dxa"/>
            <w:tcBorders>
              <w:top w:val="nil"/>
              <w:left w:val="nil"/>
              <w:bottom w:val="nil"/>
              <w:right w:val="single" w:sz="4" w:space="0" w:color="auto"/>
            </w:tcBorders>
            <w:shd w:val="clear" w:color="auto" w:fill="auto"/>
            <w:noWrap/>
            <w:vAlign w:val="center"/>
          </w:tcPr>
          <w:p w14:paraId="4FDD4B83"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1.474</w:t>
            </w:r>
          </w:p>
        </w:tc>
      </w:tr>
      <w:tr w:rsidR="00D322B1" w:rsidRPr="00A533A6" w14:paraId="658AA418" w14:textId="77777777" w:rsidTr="00D322B1">
        <w:trPr>
          <w:trHeight w:val="374"/>
        </w:trPr>
        <w:tc>
          <w:tcPr>
            <w:tcW w:w="3544" w:type="dxa"/>
            <w:tcBorders>
              <w:top w:val="nil"/>
              <w:left w:val="single" w:sz="4" w:space="0" w:color="auto"/>
              <w:bottom w:val="nil"/>
              <w:right w:val="single" w:sz="4" w:space="0" w:color="auto"/>
            </w:tcBorders>
            <w:shd w:val="clear" w:color="auto" w:fill="auto"/>
            <w:noWrap/>
            <w:vAlign w:val="center"/>
          </w:tcPr>
          <w:p w14:paraId="52959C45"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Productos alimentación animal</w:t>
            </w:r>
          </w:p>
        </w:tc>
        <w:tc>
          <w:tcPr>
            <w:tcW w:w="2410" w:type="dxa"/>
            <w:tcBorders>
              <w:top w:val="nil"/>
              <w:left w:val="nil"/>
              <w:bottom w:val="nil"/>
              <w:right w:val="single" w:sz="4" w:space="0" w:color="auto"/>
            </w:tcBorders>
            <w:shd w:val="clear" w:color="auto" w:fill="auto"/>
            <w:noWrap/>
            <w:vAlign w:val="center"/>
          </w:tcPr>
          <w:p w14:paraId="5098E466"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1.038</w:t>
            </w:r>
          </w:p>
        </w:tc>
        <w:tc>
          <w:tcPr>
            <w:tcW w:w="2409" w:type="dxa"/>
            <w:tcBorders>
              <w:top w:val="nil"/>
              <w:left w:val="nil"/>
              <w:bottom w:val="nil"/>
              <w:right w:val="single" w:sz="4" w:space="0" w:color="auto"/>
            </w:tcBorders>
            <w:shd w:val="clear" w:color="auto" w:fill="auto"/>
            <w:noWrap/>
            <w:vAlign w:val="center"/>
          </w:tcPr>
          <w:p w14:paraId="147EF506"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1.808</w:t>
            </w:r>
          </w:p>
        </w:tc>
      </w:tr>
      <w:tr w:rsidR="00D322B1" w:rsidRPr="00A533A6" w14:paraId="76E02A58" w14:textId="77777777" w:rsidTr="00D322B1">
        <w:trPr>
          <w:trHeight w:val="275"/>
        </w:trPr>
        <w:tc>
          <w:tcPr>
            <w:tcW w:w="3544" w:type="dxa"/>
            <w:tcBorders>
              <w:top w:val="nil"/>
              <w:left w:val="single" w:sz="4" w:space="0" w:color="auto"/>
              <w:bottom w:val="nil"/>
              <w:right w:val="single" w:sz="4" w:space="0" w:color="auto"/>
            </w:tcBorders>
            <w:shd w:val="clear" w:color="auto" w:fill="auto"/>
            <w:noWrap/>
            <w:vAlign w:val="center"/>
          </w:tcPr>
          <w:p w14:paraId="12C62069" w14:textId="77777777" w:rsidR="00D322B1" w:rsidRPr="00C5604C" w:rsidRDefault="00D322B1" w:rsidP="00D4710E">
            <w:pPr>
              <w:spacing w:line="276" w:lineRule="auto"/>
              <w:rPr>
                <w:rFonts w:ascii="Arial" w:hAnsi="Arial" w:cs="Arial"/>
                <w:sz w:val="18"/>
                <w:szCs w:val="18"/>
              </w:rPr>
            </w:pPr>
            <w:r w:rsidRPr="00C5604C">
              <w:rPr>
                <w:rFonts w:ascii="Arial" w:hAnsi="Arial" w:cs="Arial"/>
                <w:sz w:val="18"/>
                <w:szCs w:val="18"/>
              </w:rPr>
              <w:t>Fabricación de bebidas</w:t>
            </w:r>
          </w:p>
        </w:tc>
        <w:tc>
          <w:tcPr>
            <w:tcW w:w="2410" w:type="dxa"/>
            <w:tcBorders>
              <w:top w:val="nil"/>
              <w:left w:val="nil"/>
              <w:bottom w:val="single" w:sz="4" w:space="0" w:color="auto"/>
              <w:right w:val="single" w:sz="4" w:space="0" w:color="auto"/>
            </w:tcBorders>
            <w:shd w:val="clear" w:color="auto" w:fill="auto"/>
            <w:noWrap/>
            <w:vAlign w:val="center"/>
          </w:tcPr>
          <w:p w14:paraId="55D62101"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4.430</w:t>
            </w:r>
          </w:p>
        </w:tc>
        <w:tc>
          <w:tcPr>
            <w:tcW w:w="2409" w:type="dxa"/>
            <w:tcBorders>
              <w:top w:val="nil"/>
              <w:left w:val="nil"/>
              <w:bottom w:val="single" w:sz="4" w:space="0" w:color="auto"/>
              <w:right w:val="single" w:sz="4" w:space="0" w:color="auto"/>
            </w:tcBorders>
            <w:shd w:val="clear" w:color="auto" w:fill="auto"/>
            <w:noWrap/>
            <w:vAlign w:val="center"/>
          </w:tcPr>
          <w:p w14:paraId="12BCFA6F" w14:textId="77777777" w:rsidR="00D322B1" w:rsidRPr="00C5604C" w:rsidRDefault="00D322B1" w:rsidP="00D4710E">
            <w:pPr>
              <w:spacing w:line="276" w:lineRule="auto"/>
              <w:ind w:left="-140" w:right="326"/>
              <w:jc w:val="right"/>
              <w:rPr>
                <w:rFonts w:ascii="Arial" w:hAnsi="Arial" w:cs="Arial"/>
                <w:sz w:val="18"/>
                <w:szCs w:val="18"/>
              </w:rPr>
            </w:pPr>
            <w:r w:rsidRPr="009619EE">
              <w:rPr>
                <w:rFonts w:ascii="Arial" w:hAnsi="Arial" w:cs="Arial"/>
                <w:sz w:val="18"/>
                <w:szCs w:val="18"/>
              </w:rPr>
              <w:t>1.891</w:t>
            </w:r>
          </w:p>
        </w:tc>
      </w:tr>
      <w:tr w:rsidR="00D322B1" w:rsidRPr="00A533A6" w14:paraId="56D4E29B" w14:textId="77777777" w:rsidTr="00D322B1">
        <w:trPr>
          <w:trHeight w:val="276"/>
        </w:trPr>
        <w:tc>
          <w:tcPr>
            <w:tcW w:w="3544" w:type="dxa"/>
            <w:tcBorders>
              <w:top w:val="single" w:sz="4" w:space="0" w:color="auto"/>
              <w:left w:val="single" w:sz="4" w:space="0" w:color="auto"/>
              <w:bottom w:val="single" w:sz="4" w:space="0" w:color="auto"/>
              <w:right w:val="single" w:sz="4" w:space="0" w:color="auto"/>
            </w:tcBorders>
            <w:noWrap/>
            <w:vAlign w:val="center"/>
          </w:tcPr>
          <w:p w14:paraId="10C570C0" w14:textId="77777777" w:rsidR="00D322B1" w:rsidRPr="00C5604C" w:rsidRDefault="00D322B1" w:rsidP="00D4710E">
            <w:pPr>
              <w:spacing w:beforeLines="30" w:before="72" w:afterLines="30" w:after="72" w:line="276" w:lineRule="auto"/>
              <w:rPr>
                <w:rFonts w:ascii="Arial" w:hAnsi="Arial" w:cs="Arial"/>
                <w:b/>
                <w:bCs/>
                <w:sz w:val="18"/>
                <w:szCs w:val="18"/>
              </w:rPr>
            </w:pPr>
            <w:r w:rsidRPr="00C5604C">
              <w:rPr>
                <w:rFonts w:ascii="Arial" w:hAnsi="Arial" w:cs="Arial"/>
                <w:b/>
                <w:bCs/>
                <w:sz w:val="18"/>
                <w:szCs w:val="18"/>
              </w:rPr>
              <w:t>Total Alimentario Transformado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183361E" w14:textId="77777777" w:rsidR="00D322B1" w:rsidRPr="00C5604C" w:rsidRDefault="00D322B1" w:rsidP="00D4710E">
            <w:pPr>
              <w:spacing w:line="276" w:lineRule="auto"/>
              <w:ind w:left="-140" w:right="326"/>
              <w:jc w:val="right"/>
              <w:rPr>
                <w:rFonts w:ascii="Arial" w:hAnsi="Arial" w:cs="Arial"/>
                <w:b/>
                <w:sz w:val="18"/>
                <w:szCs w:val="18"/>
              </w:rPr>
            </w:pPr>
            <w:r w:rsidRPr="009619EE">
              <w:rPr>
                <w:rFonts w:ascii="Arial" w:hAnsi="Arial" w:cs="Arial"/>
                <w:b/>
                <w:sz w:val="18"/>
                <w:szCs w:val="18"/>
              </w:rPr>
              <w:t>29.931</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1BFD180" w14:textId="77777777" w:rsidR="00D322B1" w:rsidRPr="00C5604C" w:rsidRDefault="00D322B1" w:rsidP="00D4710E">
            <w:pPr>
              <w:spacing w:line="276" w:lineRule="auto"/>
              <w:ind w:left="-140" w:right="326"/>
              <w:jc w:val="right"/>
              <w:rPr>
                <w:rFonts w:ascii="Arial" w:hAnsi="Arial" w:cs="Arial"/>
                <w:b/>
                <w:sz w:val="18"/>
                <w:szCs w:val="18"/>
              </w:rPr>
            </w:pPr>
            <w:r w:rsidRPr="009619EE">
              <w:rPr>
                <w:rFonts w:ascii="Arial" w:hAnsi="Arial" w:cs="Arial"/>
                <w:b/>
                <w:sz w:val="18"/>
                <w:szCs w:val="18"/>
              </w:rPr>
              <w:t>22.218</w:t>
            </w:r>
          </w:p>
        </w:tc>
      </w:tr>
    </w:tbl>
    <w:p w14:paraId="116CE9E7" w14:textId="03AF7844" w:rsidR="00D322B1" w:rsidRDefault="00D322B1" w:rsidP="00932AD6">
      <w:pPr>
        <w:spacing w:line="276" w:lineRule="auto"/>
        <w:ind w:left="142"/>
        <w:rPr>
          <w:rFonts w:ascii="Arial" w:hAnsi="Arial" w:cs="Arial"/>
          <w:sz w:val="16"/>
          <w:szCs w:val="16"/>
        </w:rPr>
      </w:pPr>
      <w:r w:rsidRPr="00A533A6">
        <w:rPr>
          <w:rFonts w:ascii="Arial" w:hAnsi="Arial" w:cs="Arial"/>
          <w:b/>
          <w:sz w:val="16"/>
          <w:szCs w:val="16"/>
        </w:rPr>
        <w:t xml:space="preserve">Fuente: </w:t>
      </w:r>
      <w:r w:rsidRPr="00A533A6">
        <w:rPr>
          <w:rFonts w:ascii="Arial" w:hAnsi="Arial" w:cs="Arial"/>
          <w:sz w:val="16"/>
          <w:szCs w:val="16"/>
        </w:rPr>
        <w:t>Departamento de Aduanas e Impuestos Especiales. Año 2018. Comercio Alimentarlo Transformado</w:t>
      </w:r>
      <w:r>
        <w:rPr>
          <w:rFonts w:ascii="Arial" w:hAnsi="Arial" w:cs="Arial"/>
          <w:sz w:val="16"/>
          <w:szCs w:val="16"/>
        </w:rPr>
        <w:t>.</w:t>
      </w:r>
    </w:p>
    <w:p w14:paraId="7DA58DDC" w14:textId="77777777" w:rsidR="00932AD6" w:rsidRPr="00932AD6" w:rsidRDefault="00932AD6" w:rsidP="00932AD6">
      <w:pPr>
        <w:spacing w:line="276" w:lineRule="auto"/>
        <w:ind w:left="142"/>
        <w:rPr>
          <w:rFonts w:ascii="Arial" w:hAnsi="Arial" w:cs="Arial"/>
          <w:sz w:val="18"/>
          <w:szCs w:val="18"/>
        </w:rPr>
      </w:pPr>
    </w:p>
    <w:p w14:paraId="653EBB32" w14:textId="1B40A095" w:rsidR="00F11837" w:rsidRDefault="007849CD" w:rsidP="00B75CB9">
      <w:pPr>
        <w:pStyle w:val="Ttulo2"/>
        <w:rPr>
          <w:rFonts w:asciiTheme="majorHAnsi" w:hAnsiTheme="majorHAnsi" w:cstheme="majorHAnsi"/>
          <w:b w:val="0"/>
        </w:rPr>
      </w:pPr>
      <w:bookmarkStart w:id="64" w:name="_Toc14695470"/>
      <w:r w:rsidRPr="00B75CB9">
        <w:rPr>
          <w:rFonts w:asciiTheme="majorHAnsi" w:hAnsiTheme="majorHAnsi" w:cstheme="majorHAnsi"/>
          <w:b w:val="0"/>
        </w:rPr>
        <w:lastRenderedPageBreak/>
        <w:t>3.2.3</w:t>
      </w:r>
      <w:r w:rsidR="00E72432" w:rsidRPr="00B75CB9">
        <w:rPr>
          <w:rFonts w:asciiTheme="majorHAnsi" w:hAnsiTheme="majorHAnsi" w:cstheme="majorHAnsi"/>
          <w:b w:val="0"/>
        </w:rPr>
        <w:t xml:space="preserve"> </w:t>
      </w:r>
      <w:r w:rsidR="00B75CB9">
        <w:rPr>
          <w:rFonts w:asciiTheme="majorHAnsi" w:hAnsiTheme="majorHAnsi" w:cstheme="majorHAnsi"/>
          <w:b w:val="0"/>
        </w:rPr>
        <w:t>Sector de la distribución</w:t>
      </w:r>
      <w:bookmarkEnd w:id="64"/>
    </w:p>
    <w:p w14:paraId="5F45C40D" w14:textId="77777777" w:rsidR="00B75CB9" w:rsidRPr="00B75CB9" w:rsidRDefault="00B75CB9" w:rsidP="00B75CB9"/>
    <w:p w14:paraId="3046241B" w14:textId="78F7C329" w:rsidR="00C6791B" w:rsidRPr="00C6791B" w:rsidRDefault="00C6791B" w:rsidP="00C6791B">
      <w:pPr>
        <w:pStyle w:val="Prrafodelista"/>
        <w:spacing w:after="240" w:line="276" w:lineRule="auto"/>
        <w:ind w:left="0"/>
        <w:jc w:val="both"/>
        <w:rPr>
          <w:rFonts w:asciiTheme="majorHAnsi" w:hAnsiTheme="majorHAnsi" w:cstheme="majorHAnsi"/>
          <w:sz w:val="24"/>
          <w:szCs w:val="18"/>
          <w:lang w:val="es-ES_tradnl"/>
        </w:rPr>
      </w:pPr>
      <w:r w:rsidRPr="00C6791B">
        <w:rPr>
          <w:rFonts w:asciiTheme="majorHAnsi" w:hAnsiTheme="majorHAnsi" w:cstheme="majorHAnsi"/>
          <w:sz w:val="24"/>
          <w:szCs w:val="18"/>
          <w:lang w:val="es-ES_tradnl"/>
        </w:rPr>
        <w:t>En la última fase se calcula el VAB debido al comercio y la distribución de productos agrarios y agroalimentarios. La cifra se ha estimado diferenciando el valor generado por los productos importados y no importados. Si se tiene en cuenta el valor de los productos importados, la cifra es de 33.542 M€ y si no, de 23.074 M€.</w:t>
      </w:r>
    </w:p>
    <w:p w14:paraId="04195F10" w14:textId="59562E2C" w:rsidR="007849CD" w:rsidRPr="00745130" w:rsidRDefault="002F6965" w:rsidP="00C6791B">
      <w:pPr>
        <w:pStyle w:val="Prrafodelista"/>
        <w:spacing w:after="240" w:line="276" w:lineRule="auto"/>
        <w:ind w:left="0"/>
        <w:jc w:val="both"/>
        <w:rPr>
          <w:rFonts w:asciiTheme="majorHAnsi" w:hAnsiTheme="majorHAnsi" w:cstheme="majorHAnsi"/>
          <w:sz w:val="24"/>
          <w:szCs w:val="18"/>
          <w:lang w:val="es-ES_tradnl"/>
        </w:rPr>
      </w:pPr>
      <w:r w:rsidRPr="002F6965">
        <w:rPr>
          <w:rFonts w:asciiTheme="majorHAnsi" w:hAnsiTheme="majorHAnsi" w:cstheme="majorHAnsi"/>
          <w:sz w:val="24"/>
          <w:szCs w:val="18"/>
          <w:lang w:val="es-ES_tradnl"/>
        </w:rPr>
        <w:t>La Distribución Alimentaria es uno de los eslabones más importantes en la cadena agroalimentaria.</w:t>
      </w:r>
      <w:r w:rsidR="00B80F00" w:rsidRPr="00745130">
        <w:rPr>
          <w:rFonts w:asciiTheme="majorHAnsi" w:hAnsiTheme="majorHAnsi" w:cstheme="majorHAnsi"/>
          <w:sz w:val="24"/>
          <w:szCs w:val="18"/>
          <w:lang w:val="es-ES_tradnl"/>
        </w:rPr>
        <w:t xml:space="preserve"> </w:t>
      </w:r>
      <w:r w:rsidRPr="00745130">
        <w:rPr>
          <w:rFonts w:asciiTheme="majorHAnsi" w:hAnsiTheme="majorHAnsi" w:cstheme="majorHAnsi"/>
          <w:sz w:val="24"/>
          <w:szCs w:val="18"/>
          <w:lang w:val="es-ES_tradnl"/>
        </w:rPr>
        <w:t>Facilita la comercialización de los alimentos y al mismo tiempo pone en contacto al sector productor e industrial con los consumidores, que finalmente, cierran el ciclo de esta cadena.</w:t>
      </w:r>
    </w:p>
    <w:p w14:paraId="464309B8" w14:textId="77777777" w:rsidR="00F11837" w:rsidRPr="00F11837" w:rsidRDefault="00F11837" w:rsidP="00C6791B">
      <w:pPr>
        <w:pStyle w:val="Prrafodelista"/>
        <w:spacing w:after="240" w:line="276" w:lineRule="auto"/>
        <w:ind w:left="0"/>
        <w:jc w:val="both"/>
        <w:rPr>
          <w:rFonts w:asciiTheme="majorHAnsi" w:hAnsiTheme="majorHAnsi" w:cstheme="majorHAnsi"/>
          <w:bCs/>
          <w:iCs/>
          <w:sz w:val="24"/>
          <w:szCs w:val="18"/>
        </w:rPr>
      </w:pPr>
      <w:r w:rsidRPr="00F11837">
        <w:rPr>
          <w:rFonts w:asciiTheme="majorHAnsi" w:hAnsiTheme="majorHAnsi" w:cstheme="majorHAnsi"/>
          <w:bCs/>
          <w:iCs/>
          <w:sz w:val="24"/>
          <w:szCs w:val="18"/>
        </w:rPr>
        <w:t xml:space="preserve">El sector de la distribución alimentaria está dividido en dos tipos de canales: tiendas especializadas y cadenas de distribución organizada. </w:t>
      </w:r>
    </w:p>
    <w:p w14:paraId="14D8A1CD" w14:textId="77777777" w:rsidR="00F11837" w:rsidRPr="00F11837" w:rsidRDefault="00F11837" w:rsidP="00C6791B">
      <w:pPr>
        <w:pStyle w:val="Prrafodelista"/>
        <w:spacing w:after="240" w:line="276" w:lineRule="auto"/>
        <w:ind w:left="0"/>
        <w:jc w:val="both"/>
        <w:rPr>
          <w:rFonts w:asciiTheme="majorHAnsi" w:hAnsiTheme="majorHAnsi" w:cstheme="majorHAnsi"/>
          <w:bCs/>
          <w:iCs/>
          <w:sz w:val="24"/>
          <w:szCs w:val="18"/>
        </w:rPr>
      </w:pPr>
      <w:r w:rsidRPr="00F11837">
        <w:rPr>
          <w:rFonts w:asciiTheme="majorHAnsi" w:hAnsiTheme="majorHAnsi" w:cstheme="majorHAnsi"/>
          <w:bCs/>
          <w:iCs/>
          <w:sz w:val="24"/>
          <w:szCs w:val="18"/>
        </w:rPr>
        <w:t xml:space="preserve">El canal de venta a través de tiendas especializadas se caracteriza por estar formado por empresas con superficies de venta de reducido tamaño y por contar con un gran número de puntos de venta. Normalmente son empresas de tipo familiar, ubicadas tanto en mercados municipales y galerías comerciales como con instalaciones de venta propias.  </w:t>
      </w:r>
    </w:p>
    <w:p w14:paraId="55C3F3AA" w14:textId="77777777" w:rsidR="00F11837" w:rsidRPr="00F11837" w:rsidRDefault="00F11837" w:rsidP="00C6791B">
      <w:pPr>
        <w:pStyle w:val="Prrafodelista"/>
        <w:spacing w:after="240" w:line="276" w:lineRule="auto"/>
        <w:ind w:left="0"/>
        <w:jc w:val="both"/>
        <w:rPr>
          <w:rFonts w:asciiTheme="majorHAnsi" w:hAnsiTheme="majorHAnsi" w:cstheme="majorHAnsi"/>
          <w:bCs/>
          <w:iCs/>
          <w:sz w:val="24"/>
          <w:szCs w:val="18"/>
        </w:rPr>
      </w:pPr>
      <w:r w:rsidRPr="00F11837">
        <w:rPr>
          <w:rFonts w:asciiTheme="majorHAnsi" w:hAnsiTheme="majorHAnsi" w:cstheme="majorHAnsi"/>
          <w:bCs/>
          <w:iCs/>
          <w:sz w:val="24"/>
          <w:szCs w:val="18"/>
        </w:rPr>
        <w:t xml:space="preserve">El comercio minorista especializado se abastece principalmente a través de mercados centrales mayoristas ubicados en las proximidades de los puntos de distribución minorista y de consumo. En España hay algo menos de 40 instituciones de esta clase, si bien las más importantes por su tamaño y capacidad de influencia se integran en la Red de Mercas de </w:t>
      </w:r>
      <w:proofErr w:type="spellStart"/>
      <w:r w:rsidRPr="00F11837">
        <w:rPr>
          <w:rFonts w:asciiTheme="majorHAnsi" w:hAnsiTheme="majorHAnsi" w:cstheme="majorHAnsi"/>
          <w:bCs/>
          <w:iCs/>
          <w:sz w:val="24"/>
          <w:szCs w:val="18"/>
        </w:rPr>
        <w:t>Mercasa</w:t>
      </w:r>
      <w:proofErr w:type="spellEnd"/>
      <w:r w:rsidRPr="00F11837">
        <w:rPr>
          <w:rFonts w:asciiTheme="majorHAnsi" w:hAnsiTheme="majorHAnsi" w:cstheme="majorHAnsi"/>
          <w:bCs/>
          <w:iCs/>
          <w:sz w:val="24"/>
          <w:szCs w:val="18"/>
        </w:rPr>
        <w:t xml:space="preserve">. </w:t>
      </w:r>
    </w:p>
    <w:p w14:paraId="59679174" w14:textId="77777777" w:rsidR="00F11837" w:rsidRPr="00F11837" w:rsidRDefault="00F11837" w:rsidP="00C6791B">
      <w:pPr>
        <w:pStyle w:val="Prrafodelista"/>
        <w:spacing w:after="240" w:line="276" w:lineRule="auto"/>
        <w:ind w:left="0"/>
        <w:jc w:val="both"/>
        <w:rPr>
          <w:rFonts w:asciiTheme="majorHAnsi" w:hAnsiTheme="majorHAnsi" w:cstheme="majorHAnsi"/>
          <w:bCs/>
          <w:iCs/>
          <w:sz w:val="24"/>
          <w:szCs w:val="18"/>
        </w:rPr>
      </w:pPr>
      <w:r w:rsidRPr="00F11837">
        <w:rPr>
          <w:rFonts w:asciiTheme="majorHAnsi" w:hAnsiTheme="majorHAnsi" w:cstheme="majorHAnsi"/>
          <w:bCs/>
          <w:iCs/>
          <w:sz w:val="24"/>
          <w:szCs w:val="18"/>
        </w:rPr>
        <w:t>El canal de los mercados mayoristas era el canal principal de abastecimiento en destino de productos perecederos a los centros de consumo. Sin embargo, este canal ha perdido importancia relativa en los últimos años, suministrándose de forma independiente en origen o a través de plataformas de distribución.</w:t>
      </w:r>
    </w:p>
    <w:p w14:paraId="4DCBB477" w14:textId="1596F22E" w:rsidR="00F11837" w:rsidRDefault="00F11837" w:rsidP="00C6791B">
      <w:pPr>
        <w:pStyle w:val="Prrafodelista"/>
        <w:spacing w:after="240" w:line="276" w:lineRule="auto"/>
        <w:ind w:left="0"/>
        <w:jc w:val="both"/>
        <w:rPr>
          <w:rFonts w:asciiTheme="majorHAnsi" w:hAnsiTheme="majorHAnsi" w:cstheme="majorHAnsi"/>
          <w:bCs/>
          <w:iCs/>
          <w:sz w:val="24"/>
          <w:szCs w:val="18"/>
        </w:rPr>
      </w:pPr>
      <w:r w:rsidRPr="00F11837">
        <w:rPr>
          <w:rFonts w:asciiTheme="majorHAnsi" w:hAnsiTheme="majorHAnsi" w:cstheme="majorHAnsi"/>
          <w:bCs/>
          <w:iCs/>
          <w:sz w:val="24"/>
          <w:szCs w:val="18"/>
        </w:rPr>
        <w:t>El canal de venta a través de cadenas de distribución organizada está muy concentrado en empresas con superficies de venta de mediano y gran tamaño que ofertan un amplio rango de productos (hipermercados, supermercados, tiendas descuento, etc.). Pertenecen a grandes grupos de distribución minorista, lo que les confiere un gran poder de negociación frente a los proveedores.</w:t>
      </w:r>
    </w:p>
    <w:p w14:paraId="7B057789" w14:textId="77777777" w:rsidR="00BA0837" w:rsidRDefault="00BA0837" w:rsidP="00C6791B">
      <w:pPr>
        <w:pStyle w:val="Prrafodelista"/>
        <w:spacing w:after="240" w:line="276" w:lineRule="auto"/>
        <w:ind w:left="0"/>
        <w:jc w:val="both"/>
        <w:rPr>
          <w:rFonts w:asciiTheme="majorHAnsi" w:hAnsiTheme="majorHAnsi" w:cstheme="majorHAnsi"/>
          <w:bCs/>
          <w:iCs/>
          <w:sz w:val="24"/>
          <w:szCs w:val="18"/>
        </w:rPr>
      </w:pPr>
    </w:p>
    <w:p w14:paraId="1BC7B796" w14:textId="77777777" w:rsidR="00BA0837" w:rsidRPr="00B80F00" w:rsidRDefault="00BA0837" w:rsidP="00C6791B">
      <w:pPr>
        <w:pStyle w:val="Prrafodelista"/>
        <w:spacing w:after="240" w:line="276" w:lineRule="auto"/>
        <w:ind w:left="0"/>
        <w:jc w:val="both"/>
        <w:rPr>
          <w:rFonts w:asciiTheme="majorHAnsi" w:hAnsiTheme="majorHAnsi" w:cstheme="majorHAnsi"/>
          <w:bCs/>
          <w:iCs/>
          <w:sz w:val="24"/>
          <w:szCs w:val="18"/>
        </w:rPr>
      </w:pPr>
    </w:p>
    <w:p w14:paraId="5C609FF5" w14:textId="27DBDEED" w:rsidR="007849CD" w:rsidRPr="00801763" w:rsidRDefault="00B75CB9" w:rsidP="00D4710E">
      <w:pPr>
        <w:pStyle w:val="Ttulo2"/>
        <w:spacing w:line="276" w:lineRule="auto"/>
        <w:rPr>
          <w:rFonts w:asciiTheme="majorHAnsi" w:hAnsiTheme="majorHAnsi" w:cstheme="majorHAnsi"/>
          <w:szCs w:val="24"/>
        </w:rPr>
      </w:pPr>
      <w:bookmarkStart w:id="65" w:name="_Toc14695471"/>
      <w:r>
        <w:rPr>
          <w:rFonts w:asciiTheme="majorHAnsi" w:hAnsiTheme="majorHAnsi" w:cstheme="majorHAnsi"/>
          <w:szCs w:val="24"/>
        </w:rPr>
        <w:lastRenderedPageBreak/>
        <w:t>3.3</w:t>
      </w:r>
      <w:r w:rsidR="007849CD" w:rsidRPr="00801763">
        <w:rPr>
          <w:rFonts w:asciiTheme="majorHAnsi" w:hAnsiTheme="majorHAnsi" w:cstheme="majorHAnsi"/>
          <w:szCs w:val="24"/>
        </w:rPr>
        <w:t xml:space="preserve"> Papel del consumidor:</w:t>
      </w:r>
      <w:bookmarkEnd w:id="65"/>
      <w:r w:rsidR="007849CD" w:rsidRPr="00801763">
        <w:rPr>
          <w:rFonts w:asciiTheme="majorHAnsi" w:hAnsiTheme="majorHAnsi" w:cstheme="majorHAnsi"/>
          <w:szCs w:val="24"/>
        </w:rPr>
        <w:t xml:space="preserve"> </w:t>
      </w:r>
    </w:p>
    <w:p w14:paraId="46C5E08C" w14:textId="77777777" w:rsidR="0068184B" w:rsidRPr="0068184B" w:rsidRDefault="0068184B" w:rsidP="0068184B"/>
    <w:p w14:paraId="34938799" w14:textId="77777777" w:rsidR="0068184B" w:rsidRDefault="0068184B" w:rsidP="00D4710E">
      <w:pPr>
        <w:spacing w:line="276" w:lineRule="auto"/>
        <w:jc w:val="both"/>
        <w:rPr>
          <w:rFonts w:asciiTheme="majorHAnsi" w:hAnsiTheme="majorHAnsi" w:cstheme="majorHAnsi"/>
          <w:sz w:val="24"/>
          <w:szCs w:val="24"/>
          <w:lang w:eastAsia="x-none"/>
        </w:rPr>
      </w:pPr>
      <w:r w:rsidRPr="0068184B">
        <w:rPr>
          <w:rFonts w:asciiTheme="majorHAnsi" w:hAnsiTheme="majorHAnsi" w:cstheme="majorHAnsi"/>
          <w:sz w:val="24"/>
          <w:szCs w:val="24"/>
          <w:lang w:eastAsia="x-none"/>
        </w:rPr>
        <w:t>El análisis de la evolución de la población, el turismo y el número de hogares constata una disminución de la población española en los últimos siete años del 0,7%, pasando de 47.021.031 personas en 2010 a 46.733.038 en 2018 (datos provisionales INE. Primer semestre 2018).</w:t>
      </w:r>
    </w:p>
    <w:p w14:paraId="730D651D" w14:textId="77777777" w:rsidR="006E65C9" w:rsidRDefault="006E65C9" w:rsidP="00D4710E">
      <w:pPr>
        <w:spacing w:line="276" w:lineRule="auto"/>
        <w:jc w:val="both"/>
        <w:rPr>
          <w:rFonts w:asciiTheme="majorHAnsi" w:hAnsiTheme="majorHAnsi" w:cstheme="majorHAnsi"/>
          <w:sz w:val="24"/>
          <w:szCs w:val="24"/>
          <w:lang w:eastAsia="x-none"/>
        </w:rPr>
      </w:pPr>
    </w:p>
    <w:p w14:paraId="66933C4D" w14:textId="5B55BEC5" w:rsidR="0068184B" w:rsidRDefault="0068184B" w:rsidP="0068184B">
      <w:pPr>
        <w:spacing w:line="276" w:lineRule="auto"/>
        <w:jc w:val="both"/>
        <w:rPr>
          <w:rFonts w:asciiTheme="majorHAnsi" w:hAnsiTheme="majorHAnsi" w:cstheme="majorHAnsi"/>
          <w:sz w:val="24"/>
        </w:rPr>
      </w:pPr>
      <w:r w:rsidRPr="0068184B">
        <w:rPr>
          <w:rFonts w:asciiTheme="majorHAnsi" w:hAnsiTheme="majorHAnsi" w:cstheme="majorHAnsi"/>
          <w:sz w:val="24"/>
          <w:szCs w:val="24"/>
          <w:lang w:eastAsia="x-none"/>
        </w:rPr>
        <w:t xml:space="preserve">Recientemente, el Instituto Nacional de Estadística publicó los resultados de su Encuesta Continua de Hogares, constatando que en 2018 el número de estos volvió a aumentar, tal como venían observando en sus publicaciones de años anteriores. De igual manera nos encontramos ante un crecimiento vegetativo de la población con un saldo negativo. Por tanto, actualmente nos encontramos ante un contexto en el que la </w:t>
      </w:r>
      <w:r w:rsidR="00A82A3A" w:rsidRPr="0068184B">
        <w:rPr>
          <w:rFonts w:asciiTheme="majorHAnsi" w:hAnsiTheme="majorHAnsi" w:cstheme="majorHAnsi"/>
          <w:sz w:val="24"/>
          <w:szCs w:val="24"/>
          <w:lang w:eastAsia="x-none"/>
        </w:rPr>
        <w:t>población</w:t>
      </w:r>
      <w:r w:rsidRPr="0068184B">
        <w:rPr>
          <w:rFonts w:asciiTheme="majorHAnsi" w:hAnsiTheme="majorHAnsi" w:cstheme="majorHAnsi"/>
          <w:sz w:val="24"/>
          <w:szCs w:val="24"/>
          <w:lang w:eastAsia="x-none"/>
        </w:rPr>
        <w:t xml:space="preserve"> no va a crecer en el corto plazo. Esto</w:t>
      </w:r>
      <w:r w:rsidR="00A82A3A">
        <w:rPr>
          <w:rFonts w:asciiTheme="majorHAnsi" w:hAnsiTheme="majorHAnsi" w:cstheme="majorHAnsi"/>
          <w:sz w:val="24"/>
          <w:szCs w:val="24"/>
          <w:lang w:eastAsia="x-none"/>
        </w:rPr>
        <w:t>,</w:t>
      </w:r>
      <w:r w:rsidRPr="0068184B">
        <w:rPr>
          <w:rFonts w:asciiTheme="majorHAnsi" w:hAnsiTheme="majorHAnsi" w:cstheme="majorHAnsi"/>
          <w:sz w:val="24"/>
          <w:szCs w:val="24"/>
          <w:lang w:eastAsia="x-none"/>
        </w:rPr>
        <w:t xml:space="preserve"> unido a un número creciente de hogares pero de menor tamaño, genera cambios de actitud en el comportamiento de compra (gramajes más pequeños, cambio en la composición de los menús, simplificación de los mismos, predisposición ante los platos preparados, etc…). Si unimos los dos efectos anteriores con el crecimiento vegetativo, la resultante de la ecuación es que el consumo no crecerá a futuro.</w:t>
      </w:r>
      <w:r w:rsidRPr="0068184B">
        <w:rPr>
          <w:rFonts w:asciiTheme="majorHAnsi" w:hAnsiTheme="majorHAnsi" w:cstheme="majorHAnsi"/>
          <w:sz w:val="24"/>
        </w:rPr>
        <w:t xml:space="preserve"> </w:t>
      </w:r>
    </w:p>
    <w:p w14:paraId="63ED0E15" w14:textId="77777777" w:rsidR="006E65C9" w:rsidRDefault="006E65C9" w:rsidP="0068184B">
      <w:pPr>
        <w:spacing w:line="276" w:lineRule="auto"/>
        <w:jc w:val="both"/>
        <w:rPr>
          <w:rFonts w:asciiTheme="majorHAnsi" w:hAnsiTheme="majorHAnsi" w:cstheme="majorHAnsi"/>
          <w:sz w:val="24"/>
        </w:rPr>
      </w:pPr>
    </w:p>
    <w:p w14:paraId="7BEBFA6F" w14:textId="397D3A3A" w:rsidR="0068184B" w:rsidRDefault="0068184B" w:rsidP="0068184B">
      <w:pPr>
        <w:spacing w:line="276" w:lineRule="auto"/>
        <w:jc w:val="both"/>
        <w:rPr>
          <w:rFonts w:asciiTheme="majorHAnsi" w:hAnsiTheme="majorHAnsi" w:cstheme="majorHAnsi"/>
          <w:sz w:val="24"/>
        </w:rPr>
      </w:pPr>
      <w:r w:rsidRPr="0068184B">
        <w:rPr>
          <w:rFonts w:asciiTheme="majorHAnsi" w:hAnsiTheme="majorHAnsi" w:cstheme="majorHAnsi"/>
          <w:sz w:val="24"/>
        </w:rPr>
        <w:t>El futuro de la PAC y el sector agrícola dependen del apoyo social. Los consumidores de hoy están interesados en una producción agrícola segura y sostenible que también haga justicia a las tradiciones locales.</w:t>
      </w:r>
    </w:p>
    <w:p w14:paraId="7BD7547D" w14:textId="77777777" w:rsidR="00FB6A35" w:rsidRDefault="00FB6A35" w:rsidP="0068184B">
      <w:pPr>
        <w:spacing w:line="276" w:lineRule="auto"/>
        <w:jc w:val="both"/>
        <w:rPr>
          <w:rFonts w:asciiTheme="majorHAnsi" w:hAnsiTheme="majorHAnsi" w:cstheme="majorHAnsi"/>
          <w:sz w:val="24"/>
        </w:rPr>
      </w:pPr>
    </w:p>
    <w:p w14:paraId="0C132BDF" w14:textId="21FBD386" w:rsidR="0040204D" w:rsidRPr="00DA7B98" w:rsidRDefault="001E1F65" w:rsidP="00D4710E">
      <w:pPr>
        <w:pStyle w:val="Ttulo3"/>
        <w:spacing w:line="276" w:lineRule="auto"/>
        <w:jc w:val="both"/>
        <w:rPr>
          <w:rFonts w:asciiTheme="majorHAnsi" w:hAnsiTheme="majorHAnsi" w:cstheme="majorHAnsi"/>
          <w:color w:val="FF0000"/>
          <w:sz w:val="24"/>
        </w:rPr>
      </w:pPr>
      <w:bookmarkStart w:id="66" w:name="_Toc14695472"/>
      <w:r w:rsidRPr="00DA7B98">
        <w:rPr>
          <w:rFonts w:asciiTheme="majorHAnsi" w:hAnsiTheme="majorHAnsi" w:cstheme="majorHAnsi"/>
          <w:sz w:val="24"/>
        </w:rPr>
        <w:t xml:space="preserve">- </w:t>
      </w:r>
      <w:bookmarkEnd w:id="66"/>
      <w:r w:rsidR="00DA7B98" w:rsidRPr="00DA7B98">
        <w:rPr>
          <w:rFonts w:asciiTheme="majorHAnsi" w:hAnsiTheme="majorHAnsi" w:cstheme="majorHAnsi"/>
          <w:sz w:val="24"/>
          <w:szCs w:val="24"/>
          <w:lang w:val="es-ES"/>
        </w:rPr>
        <w:t>Barómetro del Clima de Confianza Agroalimentario</w:t>
      </w:r>
    </w:p>
    <w:p w14:paraId="620D093E" w14:textId="77777777" w:rsidR="003D4C46" w:rsidRPr="00DA7B98" w:rsidRDefault="003D4C46" w:rsidP="00D4710E">
      <w:pPr>
        <w:spacing w:line="276" w:lineRule="auto"/>
      </w:pPr>
    </w:p>
    <w:p w14:paraId="3B402AF2" w14:textId="4DAD10D2" w:rsidR="003D4C46" w:rsidRPr="00DA7B98" w:rsidRDefault="003D4C46" w:rsidP="00D4710E">
      <w:pPr>
        <w:spacing w:line="276" w:lineRule="auto"/>
        <w:jc w:val="both"/>
        <w:rPr>
          <w:rFonts w:asciiTheme="majorHAnsi" w:hAnsiTheme="majorHAnsi" w:cstheme="majorHAnsi"/>
          <w:sz w:val="24"/>
          <w:szCs w:val="24"/>
          <w:lang w:val="es-ES"/>
        </w:rPr>
      </w:pPr>
      <w:r w:rsidRPr="00DA7B98">
        <w:rPr>
          <w:rFonts w:asciiTheme="majorHAnsi" w:hAnsiTheme="majorHAnsi" w:cstheme="majorHAnsi"/>
          <w:sz w:val="24"/>
          <w:szCs w:val="24"/>
          <w:lang w:val="es-ES"/>
        </w:rPr>
        <w:t>El Barómetro del Clima de Confianza Agroalimentario es una Estadística Oficial perteneciente al Plan Estadístico Nacional, que se lleva realizando desde el año 2003. A partir de entrevistas a todos los agentes del sector agroalimentario (productores, industrias, mayoristas, distribuidores y consumidores) se obtiene un índice de confianza, un informe sobre aspectos gener</w:t>
      </w:r>
      <w:r w:rsidR="00DA7B98" w:rsidRPr="00DA7B98">
        <w:rPr>
          <w:rFonts w:asciiTheme="majorHAnsi" w:hAnsiTheme="majorHAnsi" w:cstheme="majorHAnsi"/>
          <w:sz w:val="24"/>
          <w:szCs w:val="24"/>
          <w:lang w:val="es-ES"/>
        </w:rPr>
        <w:t>ales del sector agroalimentario.</w:t>
      </w:r>
      <w:r w:rsidR="00DA7B98">
        <w:rPr>
          <w:rFonts w:asciiTheme="majorHAnsi" w:hAnsiTheme="majorHAnsi" w:cstheme="majorHAnsi"/>
          <w:sz w:val="24"/>
          <w:szCs w:val="24"/>
          <w:lang w:val="es-ES"/>
        </w:rPr>
        <w:t xml:space="preserve"> </w:t>
      </w:r>
    </w:p>
    <w:p w14:paraId="27BC4ADA" w14:textId="77777777" w:rsidR="003D4C46" w:rsidRPr="00DA7B98" w:rsidRDefault="003D4C46" w:rsidP="00D4710E">
      <w:pPr>
        <w:spacing w:line="276" w:lineRule="auto"/>
        <w:jc w:val="both"/>
        <w:rPr>
          <w:rFonts w:asciiTheme="majorHAnsi" w:hAnsiTheme="majorHAnsi" w:cstheme="majorHAnsi"/>
          <w:sz w:val="24"/>
          <w:szCs w:val="24"/>
          <w:lang w:val="es-ES"/>
        </w:rPr>
      </w:pPr>
    </w:p>
    <w:p w14:paraId="64A3A15A" w14:textId="7AF051A9" w:rsidR="006C03EB" w:rsidRPr="006D5399" w:rsidRDefault="003D4C46" w:rsidP="00DA7B98">
      <w:pPr>
        <w:spacing w:line="276" w:lineRule="auto"/>
        <w:jc w:val="both"/>
        <w:rPr>
          <w:rFonts w:asciiTheme="majorHAnsi" w:hAnsiTheme="majorHAnsi" w:cstheme="majorHAnsi"/>
          <w:sz w:val="24"/>
          <w:szCs w:val="24"/>
          <w:highlight w:val="lightGray"/>
          <w:lang w:val="es-ES"/>
        </w:rPr>
      </w:pPr>
      <w:r w:rsidRPr="00DA7B98">
        <w:rPr>
          <w:rFonts w:asciiTheme="majorHAnsi" w:hAnsiTheme="majorHAnsi" w:cstheme="majorHAnsi"/>
          <w:sz w:val="24"/>
          <w:szCs w:val="24"/>
          <w:lang w:val="es-ES"/>
        </w:rPr>
        <w:t xml:space="preserve">Uno de los objetivos del Barómetro de Clima de Confianza Agroalimentario es construir un </w:t>
      </w:r>
      <w:r w:rsidRPr="00DA7B98">
        <w:rPr>
          <w:rFonts w:asciiTheme="majorHAnsi" w:hAnsiTheme="majorHAnsi" w:cstheme="majorHAnsi"/>
          <w:b/>
          <w:sz w:val="24"/>
          <w:szCs w:val="24"/>
          <w:lang w:val="es-ES"/>
        </w:rPr>
        <w:t>índice trimestral</w:t>
      </w:r>
      <w:r w:rsidRPr="00DA7B98">
        <w:rPr>
          <w:rFonts w:asciiTheme="majorHAnsi" w:hAnsiTheme="majorHAnsi" w:cstheme="majorHAnsi"/>
          <w:sz w:val="24"/>
          <w:szCs w:val="24"/>
          <w:lang w:val="es-ES"/>
        </w:rPr>
        <w:t xml:space="preserve"> que </w:t>
      </w:r>
      <w:r w:rsidRPr="00DA7B98">
        <w:rPr>
          <w:rFonts w:asciiTheme="majorHAnsi" w:hAnsiTheme="majorHAnsi" w:cstheme="majorHAnsi"/>
          <w:bCs/>
          <w:sz w:val="24"/>
          <w:szCs w:val="24"/>
          <w:lang w:val="es-ES"/>
        </w:rPr>
        <w:t>refleje la situación global</w:t>
      </w:r>
      <w:r w:rsidRPr="00DA7B98">
        <w:rPr>
          <w:rFonts w:asciiTheme="majorHAnsi" w:hAnsiTheme="majorHAnsi" w:cstheme="majorHAnsi"/>
          <w:sz w:val="24"/>
          <w:szCs w:val="24"/>
          <w:lang w:val="es-ES"/>
        </w:rPr>
        <w:t xml:space="preserve"> del sector agroalimentario </w:t>
      </w:r>
      <w:r w:rsidRPr="00DA7B98">
        <w:rPr>
          <w:rFonts w:asciiTheme="majorHAnsi" w:hAnsiTheme="majorHAnsi" w:cstheme="majorHAnsi"/>
          <w:b/>
          <w:sz w:val="24"/>
          <w:szCs w:val="24"/>
          <w:lang w:val="es-ES"/>
        </w:rPr>
        <w:t>(Índice de Confianza del Sector Agroalimentario -IC)</w:t>
      </w:r>
      <w:r w:rsidRPr="00DA7B98">
        <w:rPr>
          <w:rFonts w:asciiTheme="majorHAnsi" w:hAnsiTheme="majorHAnsi" w:cstheme="majorHAnsi"/>
          <w:sz w:val="24"/>
          <w:szCs w:val="24"/>
          <w:lang w:val="es-ES"/>
        </w:rPr>
        <w:t xml:space="preserve">, </w:t>
      </w:r>
      <w:r w:rsidR="00DA7B98" w:rsidRPr="00DA7B98">
        <w:rPr>
          <w:rFonts w:asciiTheme="majorHAnsi" w:hAnsiTheme="majorHAnsi" w:cstheme="majorHAnsi"/>
          <w:sz w:val="24"/>
          <w:szCs w:val="24"/>
          <w:lang w:val="es-ES"/>
        </w:rPr>
        <w:t xml:space="preserve">que </w:t>
      </w:r>
      <w:r w:rsidRPr="00DA7B98">
        <w:rPr>
          <w:rFonts w:asciiTheme="majorHAnsi" w:hAnsiTheme="majorHAnsi" w:cstheme="majorHAnsi"/>
          <w:sz w:val="24"/>
          <w:szCs w:val="24"/>
          <w:lang w:val="es-ES"/>
        </w:rPr>
        <w:t xml:space="preserve">se calcula </w:t>
      </w:r>
      <w:r w:rsidR="00DA7B98" w:rsidRPr="00DA7B98">
        <w:rPr>
          <w:rFonts w:asciiTheme="majorHAnsi" w:hAnsiTheme="majorHAnsi" w:cstheme="majorHAnsi"/>
          <w:sz w:val="24"/>
          <w:szCs w:val="24"/>
          <w:lang w:val="es-ES"/>
        </w:rPr>
        <w:t>a partir</w:t>
      </w:r>
      <w:r w:rsidRPr="00DA7B98">
        <w:rPr>
          <w:rFonts w:asciiTheme="majorHAnsi" w:hAnsiTheme="majorHAnsi" w:cstheme="majorHAnsi"/>
          <w:sz w:val="24"/>
          <w:szCs w:val="24"/>
          <w:lang w:val="es-ES"/>
        </w:rPr>
        <w:t xml:space="preserve"> del </w:t>
      </w:r>
      <w:r w:rsidRPr="00DA7B98">
        <w:rPr>
          <w:rFonts w:asciiTheme="majorHAnsi" w:hAnsiTheme="majorHAnsi" w:cstheme="majorHAnsi"/>
          <w:b/>
          <w:sz w:val="24"/>
          <w:szCs w:val="24"/>
          <w:lang w:val="es-ES"/>
        </w:rPr>
        <w:t>Índice de Confianza del Consumidor</w:t>
      </w:r>
      <w:r w:rsidRPr="00DA7B98">
        <w:rPr>
          <w:rFonts w:asciiTheme="majorHAnsi" w:hAnsiTheme="majorHAnsi" w:cstheme="majorHAnsi"/>
          <w:sz w:val="24"/>
          <w:szCs w:val="24"/>
          <w:lang w:val="es-ES"/>
        </w:rPr>
        <w:t xml:space="preserve"> y del </w:t>
      </w:r>
      <w:r w:rsidRPr="00DA7B98">
        <w:rPr>
          <w:rFonts w:asciiTheme="majorHAnsi" w:hAnsiTheme="majorHAnsi" w:cstheme="majorHAnsi"/>
          <w:b/>
          <w:sz w:val="24"/>
          <w:szCs w:val="24"/>
          <w:lang w:val="es-ES"/>
        </w:rPr>
        <w:t>Índice de Confianza Empresarial</w:t>
      </w:r>
      <w:r w:rsidRPr="00DA7B98">
        <w:rPr>
          <w:rFonts w:asciiTheme="majorHAnsi" w:hAnsiTheme="majorHAnsi" w:cstheme="majorHAnsi"/>
          <w:sz w:val="24"/>
          <w:szCs w:val="24"/>
          <w:lang w:val="es-ES"/>
        </w:rPr>
        <w:t>. Este último está formado por los Subíndices de Confianza de Productores, Industrias, Mayoristas y Distribuidores</w:t>
      </w:r>
      <w:r w:rsidRPr="006D5399">
        <w:rPr>
          <w:rFonts w:asciiTheme="majorHAnsi" w:hAnsiTheme="majorHAnsi" w:cstheme="majorHAnsi"/>
          <w:sz w:val="24"/>
          <w:szCs w:val="24"/>
          <w:highlight w:val="lightGray"/>
          <w:lang w:val="es-ES"/>
        </w:rPr>
        <w:t>.</w:t>
      </w:r>
    </w:p>
    <w:p w14:paraId="67A6DEA2" w14:textId="77777777" w:rsidR="00D4710E" w:rsidRDefault="00D4710E" w:rsidP="00D4710E">
      <w:pPr>
        <w:spacing w:line="276" w:lineRule="auto"/>
        <w:jc w:val="both"/>
        <w:rPr>
          <w:rFonts w:asciiTheme="majorHAnsi" w:hAnsiTheme="majorHAnsi" w:cstheme="majorHAnsi"/>
          <w:sz w:val="24"/>
          <w:szCs w:val="24"/>
          <w:highlight w:val="lightGray"/>
          <w:lang w:val="es-ES"/>
        </w:rPr>
      </w:pPr>
    </w:p>
    <w:p w14:paraId="54EE7227" w14:textId="77777777" w:rsidR="00DA7B98" w:rsidRDefault="00DA7B98" w:rsidP="00D4710E">
      <w:pPr>
        <w:spacing w:line="276" w:lineRule="auto"/>
        <w:jc w:val="both"/>
        <w:rPr>
          <w:rFonts w:asciiTheme="majorHAnsi" w:hAnsiTheme="majorHAnsi" w:cstheme="majorHAnsi"/>
          <w:sz w:val="24"/>
          <w:szCs w:val="24"/>
          <w:highlight w:val="lightGray"/>
          <w:lang w:val="es-ES"/>
        </w:rPr>
      </w:pPr>
    </w:p>
    <w:p w14:paraId="47912F7E" w14:textId="77777777" w:rsidR="00DA7B98" w:rsidRDefault="00DA7B98" w:rsidP="00D4710E">
      <w:pPr>
        <w:spacing w:line="276" w:lineRule="auto"/>
        <w:jc w:val="both"/>
        <w:rPr>
          <w:rFonts w:asciiTheme="majorHAnsi" w:hAnsiTheme="majorHAnsi" w:cstheme="majorHAnsi"/>
          <w:sz w:val="24"/>
          <w:szCs w:val="24"/>
          <w:highlight w:val="lightGray"/>
          <w:lang w:val="es-ES"/>
        </w:rPr>
      </w:pPr>
    </w:p>
    <w:p w14:paraId="27D7CD1E" w14:textId="77777777" w:rsidR="00DA7B98" w:rsidRPr="006D5399" w:rsidRDefault="00DA7B98" w:rsidP="00D4710E">
      <w:pPr>
        <w:spacing w:line="276" w:lineRule="auto"/>
        <w:jc w:val="both"/>
        <w:rPr>
          <w:rFonts w:asciiTheme="majorHAnsi" w:hAnsiTheme="majorHAnsi" w:cstheme="majorHAnsi"/>
          <w:sz w:val="24"/>
          <w:szCs w:val="24"/>
          <w:highlight w:val="lightGray"/>
          <w:lang w:val="es-ES"/>
        </w:rPr>
      </w:pPr>
    </w:p>
    <w:p w14:paraId="00222C8B" w14:textId="77777777" w:rsidR="003D4C46" w:rsidRPr="006D5399" w:rsidRDefault="003D4C46" w:rsidP="00D4710E">
      <w:pPr>
        <w:spacing w:line="276" w:lineRule="auto"/>
        <w:jc w:val="center"/>
        <w:rPr>
          <w:rFonts w:asciiTheme="majorHAnsi" w:hAnsiTheme="majorHAnsi" w:cstheme="majorHAnsi"/>
          <w:sz w:val="24"/>
          <w:szCs w:val="24"/>
          <w:highlight w:val="lightGray"/>
          <w:lang w:val="es-ES"/>
        </w:rPr>
      </w:pPr>
    </w:p>
    <w:p w14:paraId="784BD503" w14:textId="77777777" w:rsidR="00424CB5" w:rsidRDefault="00424CB5" w:rsidP="00D4710E">
      <w:pPr>
        <w:spacing w:line="276" w:lineRule="auto"/>
        <w:jc w:val="both"/>
        <w:rPr>
          <w:rFonts w:asciiTheme="majorHAnsi" w:hAnsiTheme="majorHAnsi" w:cstheme="majorHAnsi"/>
          <w:sz w:val="22"/>
        </w:rPr>
      </w:pPr>
    </w:p>
    <w:p w14:paraId="7BD2E9B4" w14:textId="340CB0E9" w:rsidR="00D80CC7" w:rsidRPr="00F3311F" w:rsidRDefault="00F30E9E" w:rsidP="00F30E9E">
      <w:pPr>
        <w:pStyle w:val="Ttulo2"/>
        <w:spacing w:line="276" w:lineRule="auto"/>
        <w:ind w:left="360"/>
        <w:rPr>
          <w:rFonts w:asciiTheme="majorHAnsi" w:hAnsiTheme="majorHAnsi" w:cstheme="majorHAnsi"/>
          <w:sz w:val="28"/>
        </w:rPr>
      </w:pPr>
      <w:r>
        <w:rPr>
          <w:rFonts w:asciiTheme="majorHAnsi" w:hAnsiTheme="majorHAnsi" w:cstheme="majorHAnsi"/>
          <w:sz w:val="28"/>
        </w:rPr>
        <w:t>4.1.</w:t>
      </w:r>
      <w:r w:rsidR="00D80CC7" w:rsidRPr="00F3311F">
        <w:rPr>
          <w:rFonts w:asciiTheme="majorHAnsi" w:hAnsiTheme="majorHAnsi" w:cstheme="majorHAnsi"/>
          <w:sz w:val="28"/>
        </w:rPr>
        <w:t xml:space="preserve"> </w:t>
      </w:r>
      <w:bookmarkStart w:id="67" w:name="_Toc14695491"/>
      <w:r w:rsidR="00D80CC7" w:rsidRPr="00F3311F">
        <w:rPr>
          <w:rFonts w:asciiTheme="majorHAnsi" w:hAnsiTheme="majorHAnsi" w:cstheme="majorHAnsi"/>
          <w:sz w:val="28"/>
        </w:rPr>
        <w:t>Instrumentos de mejora del equilibrio de la cadena y de protección al sector productor</w:t>
      </w:r>
      <w:bookmarkEnd w:id="67"/>
    </w:p>
    <w:p w14:paraId="08748714" w14:textId="77777777" w:rsidR="00D80CC7" w:rsidRPr="00F3311F" w:rsidRDefault="00D80CC7" w:rsidP="00D4710E">
      <w:pPr>
        <w:spacing w:line="276" w:lineRule="auto"/>
        <w:jc w:val="both"/>
        <w:rPr>
          <w:rFonts w:asciiTheme="majorHAnsi" w:hAnsiTheme="majorHAnsi" w:cstheme="majorHAnsi"/>
          <w:sz w:val="22"/>
        </w:rPr>
      </w:pPr>
    </w:p>
    <w:p w14:paraId="655C8A36" w14:textId="120F0E71" w:rsidR="00D80CC7" w:rsidRPr="00F3311F" w:rsidRDefault="00D80CC7" w:rsidP="000033C1">
      <w:pPr>
        <w:pStyle w:val="Ttulo2"/>
        <w:widowControl/>
        <w:numPr>
          <w:ilvl w:val="2"/>
          <w:numId w:val="4"/>
        </w:numPr>
        <w:spacing w:before="40" w:line="276" w:lineRule="auto"/>
        <w:ind w:left="1843"/>
        <w:rPr>
          <w:rFonts w:asciiTheme="majorHAnsi" w:hAnsiTheme="majorHAnsi" w:cstheme="majorHAnsi"/>
          <w:sz w:val="28"/>
        </w:rPr>
      </w:pPr>
      <w:bookmarkStart w:id="68" w:name="_Toc14695492"/>
      <w:r w:rsidRPr="00F3311F">
        <w:rPr>
          <w:rFonts w:asciiTheme="majorHAnsi" w:hAnsiTheme="majorHAnsi" w:cstheme="majorHAnsi"/>
          <w:sz w:val="28"/>
        </w:rPr>
        <w:t>Instrumentos normativos:</w:t>
      </w:r>
      <w:bookmarkEnd w:id="68"/>
      <w:r w:rsidRPr="00F3311F">
        <w:rPr>
          <w:rFonts w:asciiTheme="majorHAnsi" w:hAnsiTheme="majorHAnsi" w:cstheme="majorHAnsi"/>
          <w:sz w:val="28"/>
        </w:rPr>
        <w:t xml:space="preserve"> </w:t>
      </w:r>
    </w:p>
    <w:p w14:paraId="2A2F2225" w14:textId="6CBACD6C" w:rsidR="00D80CC7" w:rsidRPr="00F3311F" w:rsidRDefault="00D80CC7" w:rsidP="00D4710E">
      <w:pPr>
        <w:pStyle w:val="Ttulo2"/>
        <w:keepLines/>
        <w:widowControl/>
        <w:spacing w:before="40" w:line="276" w:lineRule="auto"/>
        <w:ind w:firstLine="595"/>
        <w:rPr>
          <w:rFonts w:asciiTheme="majorHAnsi" w:eastAsiaTheme="minorHAnsi" w:hAnsiTheme="majorHAnsi" w:cstheme="majorHAnsi"/>
          <w:b w:val="0"/>
          <w:szCs w:val="18"/>
          <w:lang w:val="es-ES" w:eastAsia="en-US"/>
        </w:rPr>
      </w:pPr>
      <w:bookmarkStart w:id="69" w:name="_Toc14695493"/>
      <w:r w:rsidRPr="001A19E6">
        <w:rPr>
          <w:rFonts w:asciiTheme="majorHAnsi" w:hAnsiTheme="majorHAnsi" w:cstheme="majorHAnsi"/>
          <w:szCs w:val="18"/>
        </w:rPr>
        <w:t xml:space="preserve">- </w:t>
      </w:r>
      <w:r w:rsidRPr="001A19E6">
        <w:rPr>
          <w:rFonts w:asciiTheme="majorHAnsi" w:hAnsiTheme="majorHAnsi" w:cstheme="majorHAnsi"/>
          <w:b w:val="0"/>
          <w:szCs w:val="18"/>
        </w:rPr>
        <w:t>Directiva de Prácticas Desleales</w:t>
      </w:r>
      <w:r w:rsidRPr="001A19E6">
        <w:rPr>
          <w:rFonts w:asciiTheme="majorHAnsi" w:hAnsiTheme="majorHAnsi" w:cstheme="majorHAnsi"/>
          <w:szCs w:val="18"/>
        </w:rPr>
        <w:t xml:space="preserve">: </w:t>
      </w:r>
      <w:r w:rsidRPr="001A19E6">
        <w:rPr>
          <w:rFonts w:asciiTheme="majorHAnsi" w:eastAsiaTheme="minorHAnsi" w:hAnsiTheme="majorHAnsi" w:cstheme="majorHAnsi"/>
          <w:b w:val="0"/>
          <w:szCs w:val="18"/>
          <w:lang w:val="es-ES" w:eastAsia="en-US"/>
        </w:rPr>
        <w:t>Fortalecer las sinergias entre cadenas de valor y Fortalecimiento de la posición de los productores</w:t>
      </w:r>
      <w:bookmarkEnd w:id="69"/>
      <w:r w:rsidRPr="001A19E6">
        <w:rPr>
          <w:rFonts w:asciiTheme="majorHAnsi" w:eastAsiaTheme="minorHAnsi" w:hAnsiTheme="majorHAnsi" w:cstheme="majorHAnsi"/>
          <w:b w:val="0"/>
          <w:szCs w:val="18"/>
          <w:lang w:val="es-ES" w:eastAsia="en-US"/>
        </w:rPr>
        <w:t xml:space="preserve"> </w:t>
      </w:r>
    </w:p>
    <w:p w14:paraId="58BEF030" w14:textId="77777777" w:rsidR="00BC1AD2" w:rsidRPr="00F3311F" w:rsidRDefault="00BC1AD2" w:rsidP="00D4710E">
      <w:pPr>
        <w:spacing w:line="276" w:lineRule="auto"/>
        <w:jc w:val="both"/>
        <w:rPr>
          <w:rFonts w:asciiTheme="majorHAnsi" w:eastAsiaTheme="minorHAnsi" w:hAnsiTheme="majorHAnsi" w:cstheme="majorHAnsi"/>
          <w:sz w:val="22"/>
          <w:lang w:val="es-ES" w:eastAsia="en-US"/>
        </w:rPr>
      </w:pPr>
    </w:p>
    <w:p w14:paraId="7A46D0B8" w14:textId="77777777" w:rsidR="00BC1AD2" w:rsidRPr="00F3311F" w:rsidRDefault="00BC1AD2" w:rsidP="00D4710E">
      <w:pPr>
        <w:spacing w:line="276" w:lineRule="auto"/>
        <w:jc w:val="both"/>
        <w:rPr>
          <w:rFonts w:asciiTheme="majorHAnsi" w:hAnsiTheme="majorHAnsi" w:cstheme="majorHAnsi"/>
          <w:color w:val="212121"/>
          <w:sz w:val="24"/>
          <w:szCs w:val="24"/>
          <w:lang w:eastAsia="fr-FR"/>
        </w:rPr>
      </w:pPr>
      <w:r w:rsidRPr="00F3311F">
        <w:rPr>
          <w:rFonts w:asciiTheme="majorHAnsi" w:hAnsiTheme="majorHAnsi" w:cstheme="majorHAnsi"/>
          <w:color w:val="000000"/>
          <w:kern w:val="24"/>
          <w:sz w:val="24"/>
          <w:szCs w:val="24"/>
          <w:lang w:val="es-ES" w:eastAsia="fr-FR"/>
        </w:rPr>
        <w:t xml:space="preserve">Desde que la Comisión Europea publicara en el año 2009, la </w:t>
      </w:r>
      <w:r w:rsidRPr="00F3311F">
        <w:rPr>
          <w:rFonts w:asciiTheme="majorHAnsi" w:hAnsiTheme="majorHAnsi" w:cstheme="majorHAnsi"/>
          <w:b/>
          <w:bCs/>
          <w:i/>
          <w:color w:val="000000"/>
          <w:kern w:val="24"/>
          <w:sz w:val="24"/>
          <w:szCs w:val="24"/>
          <w:lang w:val="es-ES" w:eastAsia="fr-FR"/>
        </w:rPr>
        <w:t>Comunicación sobre la mejora en el funcionamiento de la cadena alimentaria</w:t>
      </w:r>
      <w:r w:rsidRPr="00F3311F">
        <w:rPr>
          <w:rFonts w:asciiTheme="majorHAnsi" w:hAnsiTheme="majorHAnsi" w:cstheme="majorHAnsi"/>
          <w:color w:val="000000"/>
          <w:kern w:val="24"/>
          <w:sz w:val="24"/>
          <w:szCs w:val="24"/>
          <w:lang w:val="es-ES" w:eastAsia="fr-FR"/>
        </w:rPr>
        <w:t xml:space="preserve">, se han multiplicado las iniciativas que han ido profundizando en el análisis y en la identificación de los problemas reales que están afectando a su desarrollo. </w:t>
      </w:r>
      <w:r w:rsidRPr="00F3311F">
        <w:rPr>
          <w:rFonts w:asciiTheme="majorHAnsi" w:hAnsiTheme="majorHAnsi" w:cstheme="majorHAnsi"/>
          <w:color w:val="212121"/>
          <w:sz w:val="24"/>
          <w:szCs w:val="24"/>
          <w:lang w:eastAsia="fr-FR"/>
        </w:rPr>
        <w:t xml:space="preserve">En ella, se ponían de manifiesto tres prioridades transversales para toda la cadena: </w:t>
      </w:r>
    </w:p>
    <w:p w14:paraId="09C2102B" w14:textId="77777777" w:rsidR="00BC1AD2" w:rsidRPr="00F3311F" w:rsidRDefault="00BC1AD2" w:rsidP="00D4710E">
      <w:pPr>
        <w:spacing w:line="276" w:lineRule="auto"/>
        <w:jc w:val="both"/>
        <w:rPr>
          <w:rFonts w:asciiTheme="majorHAnsi" w:hAnsiTheme="majorHAnsi" w:cstheme="majorHAnsi"/>
          <w:color w:val="212121"/>
          <w:sz w:val="24"/>
          <w:szCs w:val="24"/>
          <w:lang w:eastAsia="fr-FR"/>
        </w:rPr>
      </w:pPr>
    </w:p>
    <w:p w14:paraId="74F2F5B1" w14:textId="77777777" w:rsidR="00BC1AD2" w:rsidRPr="00F3311F" w:rsidRDefault="00BC1AD2" w:rsidP="000033C1">
      <w:pPr>
        <w:numPr>
          <w:ilvl w:val="0"/>
          <w:numId w:val="8"/>
        </w:numPr>
        <w:spacing w:line="276" w:lineRule="auto"/>
        <w:contextualSpacing/>
        <w:jc w:val="both"/>
        <w:rPr>
          <w:rFonts w:asciiTheme="majorHAnsi" w:hAnsiTheme="majorHAnsi" w:cstheme="majorHAnsi"/>
          <w:color w:val="212121"/>
          <w:sz w:val="24"/>
          <w:szCs w:val="24"/>
          <w:lang w:eastAsia="fr-FR"/>
        </w:rPr>
      </w:pPr>
      <w:r w:rsidRPr="00F3311F">
        <w:rPr>
          <w:rFonts w:asciiTheme="majorHAnsi" w:hAnsiTheme="majorHAnsi" w:cstheme="majorHAnsi"/>
          <w:color w:val="212121"/>
          <w:sz w:val="24"/>
          <w:szCs w:val="24"/>
          <w:lang w:eastAsia="fr-FR"/>
        </w:rPr>
        <w:t xml:space="preserve">Promover relaciones de mercado sostenibles entre las partes interesadas que operan en la cadena alimentaria; </w:t>
      </w:r>
    </w:p>
    <w:p w14:paraId="27C890B9" w14:textId="77777777" w:rsidR="00BC1AD2" w:rsidRPr="00F3311F" w:rsidRDefault="00BC1AD2" w:rsidP="000033C1">
      <w:pPr>
        <w:numPr>
          <w:ilvl w:val="0"/>
          <w:numId w:val="8"/>
        </w:numPr>
        <w:spacing w:line="276" w:lineRule="auto"/>
        <w:contextualSpacing/>
        <w:jc w:val="both"/>
        <w:rPr>
          <w:rFonts w:asciiTheme="majorHAnsi" w:hAnsiTheme="majorHAnsi" w:cstheme="majorHAnsi"/>
          <w:color w:val="212121"/>
          <w:sz w:val="24"/>
          <w:szCs w:val="24"/>
          <w:lang w:eastAsia="fr-FR"/>
        </w:rPr>
      </w:pPr>
      <w:r w:rsidRPr="00F3311F">
        <w:rPr>
          <w:rFonts w:asciiTheme="majorHAnsi" w:hAnsiTheme="majorHAnsi" w:cstheme="majorHAnsi"/>
          <w:color w:val="212121"/>
          <w:sz w:val="24"/>
          <w:szCs w:val="24"/>
          <w:lang w:eastAsia="fr-FR"/>
        </w:rPr>
        <w:t xml:space="preserve">Incrementar la transparencia a lo largo de la cadena a fin de impulsar la competencia y mejorar su resistencia frente a la inestabilidad de los precios; y </w:t>
      </w:r>
    </w:p>
    <w:p w14:paraId="5464C1C7" w14:textId="77777777" w:rsidR="00BC1AD2" w:rsidRPr="00F3311F" w:rsidRDefault="00BC1AD2" w:rsidP="000033C1">
      <w:pPr>
        <w:numPr>
          <w:ilvl w:val="0"/>
          <w:numId w:val="8"/>
        </w:numPr>
        <w:spacing w:line="276" w:lineRule="auto"/>
        <w:contextualSpacing/>
        <w:jc w:val="both"/>
        <w:rPr>
          <w:rFonts w:asciiTheme="majorHAnsi" w:hAnsiTheme="majorHAnsi" w:cstheme="majorHAnsi"/>
          <w:color w:val="212121"/>
          <w:sz w:val="24"/>
          <w:szCs w:val="24"/>
          <w:lang w:eastAsia="fr-FR"/>
        </w:rPr>
      </w:pPr>
      <w:r w:rsidRPr="00F3311F">
        <w:rPr>
          <w:rFonts w:asciiTheme="majorHAnsi" w:hAnsiTheme="majorHAnsi" w:cstheme="majorHAnsi"/>
          <w:color w:val="212121"/>
          <w:sz w:val="24"/>
          <w:szCs w:val="24"/>
          <w:lang w:eastAsia="fr-FR"/>
        </w:rPr>
        <w:t>Mejorar la integración y la competitividad de la cadena alimentaria europea en todos los Estados miembros.</w:t>
      </w:r>
    </w:p>
    <w:p w14:paraId="386ACE74" w14:textId="77777777" w:rsidR="00BC1AD2" w:rsidRPr="00F3311F" w:rsidRDefault="00BC1AD2" w:rsidP="00D4710E">
      <w:pPr>
        <w:spacing w:line="276" w:lineRule="auto"/>
        <w:jc w:val="both"/>
        <w:rPr>
          <w:rFonts w:asciiTheme="majorHAnsi" w:hAnsiTheme="majorHAnsi" w:cstheme="majorHAnsi"/>
          <w:sz w:val="24"/>
          <w:szCs w:val="24"/>
          <w:lang w:val="es-ES" w:eastAsia="fr-FR"/>
        </w:rPr>
      </w:pPr>
      <w:r w:rsidRPr="00F3311F">
        <w:rPr>
          <w:rFonts w:asciiTheme="majorHAnsi" w:hAnsiTheme="majorHAnsi" w:cstheme="majorHAnsi"/>
          <w:color w:val="000000"/>
          <w:kern w:val="24"/>
          <w:sz w:val="24"/>
          <w:szCs w:val="24"/>
          <w:lang w:eastAsia="fr-FR"/>
        </w:rPr>
        <w:tab/>
      </w:r>
    </w:p>
    <w:p w14:paraId="747F05D7"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4"/>
          <w:lang w:eastAsia="fr-FR"/>
        </w:rPr>
      </w:pPr>
      <w:r w:rsidRPr="00F3311F">
        <w:rPr>
          <w:rFonts w:asciiTheme="majorHAnsi" w:hAnsiTheme="majorHAnsi" w:cstheme="majorHAnsi"/>
          <w:color w:val="212121"/>
          <w:sz w:val="24"/>
          <w:szCs w:val="24"/>
          <w:lang w:val="es-ES" w:eastAsia="fr-FR"/>
        </w:rPr>
        <w:t>En 2013, la Comisión llevó a cabo una consulta pública sobre la base de las preguntas del</w:t>
      </w:r>
      <w:r w:rsidRPr="00F3311F">
        <w:rPr>
          <w:rFonts w:asciiTheme="majorHAnsi" w:hAnsiTheme="majorHAnsi" w:cstheme="majorHAnsi"/>
          <w:color w:val="666666"/>
          <w:sz w:val="24"/>
          <w:szCs w:val="24"/>
          <w:shd w:val="clear" w:color="auto" w:fill="FFFFFF"/>
        </w:rPr>
        <w:t xml:space="preserve"> </w:t>
      </w:r>
      <w:r w:rsidRPr="00F3311F">
        <w:rPr>
          <w:rFonts w:asciiTheme="majorHAnsi" w:hAnsiTheme="majorHAnsi" w:cstheme="majorHAnsi"/>
          <w:color w:val="212121"/>
          <w:sz w:val="24"/>
          <w:szCs w:val="24"/>
          <w:lang w:eastAsia="fr-FR"/>
        </w:rPr>
        <w:t> Libro Verde de la Comisión, sobre las prácticas comerciales desleales, en adelante PCD, en la cadena de suministro alimentario y no alimentario entre empresas en Europa.</w:t>
      </w:r>
    </w:p>
    <w:p w14:paraId="480FF0CE"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4"/>
          <w:lang w:val="es-ES" w:eastAsia="fr-FR"/>
        </w:rPr>
      </w:pPr>
    </w:p>
    <w:p w14:paraId="2695F7AA"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4"/>
          <w:lang w:val="es-ES" w:eastAsia="fr-FR"/>
        </w:rPr>
      </w:pPr>
      <w:r w:rsidRPr="00F3311F">
        <w:rPr>
          <w:rFonts w:asciiTheme="majorHAnsi" w:hAnsiTheme="majorHAnsi" w:cstheme="majorHAnsi"/>
          <w:color w:val="212121"/>
          <w:sz w:val="24"/>
          <w:szCs w:val="24"/>
          <w:lang w:val="es-ES" w:eastAsia="fr-FR"/>
        </w:rPr>
        <w:t>Un informe de la Comisión Europea de enero de 2016 concluyó que, en ese momento, un enfoque regulatorio armonizado según la legislación de la UE no agregaría valor. Sin embargo, comprometió a la Comisión a reevaluar la necesidad y el valor añadido de una acción a nivel de la UE antes del final de su mandato.</w:t>
      </w:r>
    </w:p>
    <w:p w14:paraId="624AECA7"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8"/>
          <w:szCs w:val="24"/>
          <w:lang w:val="es-ES" w:eastAsia="fr-FR"/>
        </w:rPr>
      </w:pPr>
    </w:p>
    <w:p w14:paraId="6F65AFD6"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r w:rsidRPr="00F3311F">
        <w:rPr>
          <w:rFonts w:asciiTheme="majorHAnsi" w:hAnsiTheme="majorHAnsi" w:cstheme="majorHAnsi"/>
          <w:color w:val="212121"/>
          <w:sz w:val="24"/>
          <w:szCs w:val="22"/>
          <w:lang w:val="es-ES" w:eastAsia="fr-FR"/>
        </w:rPr>
        <w:t>En junio de 2016, una resolución del Parlamento Europeo, que obtuvo un apoyo excepcionalmente fuerte, invitó a la Comisión Europea a presentar una propuesta para un marco a nivel de la UE en relación con las PCD.</w:t>
      </w:r>
    </w:p>
    <w:p w14:paraId="2B179789"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p>
    <w:p w14:paraId="431D20BC"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r w:rsidRPr="00F3311F">
        <w:rPr>
          <w:rFonts w:asciiTheme="majorHAnsi" w:hAnsiTheme="majorHAnsi" w:cstheme="majorHAnsi"/>
          <w:color w:val="212121"/>
          <w:sz w:val="24"/>
          <w:szCs w:val="22"/>
          <w:lang w:val="es-ES" w:eastAsia="fr-FR"/>
        </w:rPr>
        <w:t>En septiembre de 2016, el Comité Económico y Social Europeo publicó un informe en el que pedía a la Comisión y a los Estados miembros a tomar medidas rápidas para evitar las PCD mediante el establecimiento de una red armonizada de autoridades de control a nivel de la UE, a fin de crear condiciones de igualdad en el mercado único.</w:t>
      </w:r>
    </w:p>
    <w:p w14:paraId="4F7DAE74"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p>
    <w:p w14:paraId="239A7009" w14:textId="77777777" w:rsidR="00BC1AD2" w:rsidRPr="00F3311F" w:rsidRDefault="00BC1AD2" w:rsidP="00D4710E">
      <w:pPr>
        <w:spacing w:before="120" w:after="120" w:line="276" w:lineRule="auto"/>
        <w:jc w:val="both"/>
        <w:rPr>
          <w:rFonts w:asciiTheme="majorHAnsi" w:eastAsia="Calibri" w:hAnsiTheme="majorHAnsi" w:cstheme="majorHAnsi"/>
          <w:noProof/>
          <w:sz w:val="24"/>
          <w:szCs w:val="22"/>
          <w:lang w:bidi="es-ES"/>
        </w:rPr>
      </w:pPr>
      <w:r w:rsidRPr="00F3311F">
        <w:rPr>
          <w:rFonts w:asciiTheme="majorHAnsi" w:eastAsia="Calibri" w:hAnsiTheme="majorHAnsi" w:cstheme="majorHAnsi"/>
          <w:noProof/>
          <w:sz w:val="24"/>
          <w:szCs w:val="22"/>
          <w:lang w:bidi="es-ES"/>
        </w:rPr>
        <w:t xml:space="preserve">Veinte Estados miembros han adoptado una normativa específica sobre PCD, lo cual da muestra de la considerable preocupación que esas prácticas suscitan a nivel nacional. No obstante, el problema de las PCD se aborda de una manera extremadamente heterogénea en cada uno de los Estados miembros. </w:t>
      </w:r>
    </w:p>
    <w:p w14:paraId="76C8BF37"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eastAsia="fr-FR"/>
        </w:rPr>
      </w:pPr>
    </w:p>
    <w:p w14:paraId="0E5C98CB"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r w:rsidRPr="00F3311F">
        <w:rPr>
          <w:rFonts w:asciiTheme="majorHAnsi" w:hAnsiTheme="majorHAnsi" w:cstheme="majorHAnsi"/>
          <w:color w:val="212121"/>
          <w:sz w:val="24"/>
          <w:szCs w:val="22"/>
          <w:lang w:val="es-ES" w:eastAsia="fr-FR"/>
        </w:rPr>
        <w:t xml:space="preserve">A instancias del </w:t>
      </w:r>
      <w:r w:rsidRPr="00F3311F">
        <w:rPr>
          <w:rFonts w:asciiTheme="majorHAnsi" w:hAnsiTheme="majorHAnsi" w:cstheme="majorHAnsi"/>
          <w:b/>
          <w:color w:val="212121"/>
          <w:sz w:val="24"/>
          <w:szCs w:val="22"/>
          <w:lang w:val="es-ES" w:eastAsia="fr-FR"/>
        </w:rPr>
        <w:t xml:space="preserve">Comisario de Agricultura y Desarrollo Rural Phil </w:t>
      </w:r>
      <w:proofErr w:type="spellStart"/>
      <w:r w:rsidRPr="00F3311F">
        <w:rPr>
          <w:rFonts w:asciiTheme="majorHAnsi" w:hAnsiTheme="majorHAnsi" w:cstheme="majorHAnsi"/>
          <w:b/>
          <w:color w:val="212121"/>
          <w:sz w:val="24"/>
          <w:szCs w:val="22"/>
          <w:lang w:val="es-ES" w:eastAsia="fr-FR"/>
        </w:rPr>
        <w:t>Hogan</w:t>
      </w:r>
      <w:proofErr w:type="spellEnd"/>
      <w:r w:rsidRPr="00F3311F">
        <w:rPr>
          <w:rFonts w:asciiTheme="majorHAnsi" w:hAnsiTheme="majorHAnsi" w:cstheme="majorHAnsi"/>
          <w:b/>
          <w:color w:val="212121"/>
          <w:sz w:val="24"/>
          <w:szCs w:val="22"/>
          <w:lang w:val="es-ES" w:eastAsia="fr-FR"/>
        </w:rPr>
        <w:t>,</w:t>
      </w:r>
      <w:r w:rsidRPr="00F3311F">
        <w:rPr>
          <w:rFonts w:asciiTheme="majorHAnsi" w:hAnsiTheme="majorHAnsi" w:cstheme="majorHAnsi"/>
          <w:color w:val="212121"/>
          <w:sz w:val="24"/>
          <w:szCs w:val="22"/>
          <w:lang w:val="es-ES" w:eastAsia="fr-FR"/>
        </w:rPr>
        <w:t xml:space="preserve"> la Comisión creó, en enero de 2016, un grupo europeo de doce expertos independientes, </w:t>
      </w:r>
      <w:proofErr w:type="spellStart"/>
      <w:r w:rsidRPr="00F3311F">
        <w:rPr>
          <w:rFonts w:asciiTheme="majorHAnsi" w:hAnsiTheme="majorHAnsi" w:cstheme="majorHAnsi"/>
          <w:b/>
          <w:i/>
          <w:color w:val="212121"/>
          <w:sz w:val="24"/>
          <w:szCs w:val="22"/>
          <w:lang w:val="es-ES" w:eastAsia="fr-FR"/>
        </w:rPr>
        <w:t>The</w:t>
      </w:r>
      <w:proofErr w:type="spellEnd"/>
      <w:r w:rsidRPr="00F3311F">
        <w:rPr>
          <w:rFonts w:asciiTheme="majorHAnsi" w:hAnsiTheme="majorHAnsi" w:cstheme="majorHAnsi"/>
          <w:b/>
          <w:i/>
          <w:color w:val="212121"/>
          <w:sz w:val="24"/>
          <w:szCs w:val="22"/>
          <w:lang w:val="es-ES" w:eastAsia="fr-FR"/>
        </w:rPr>
        <w:t xml:space="preserve"> </w:t>
      </w:r>
      <w:proofErr w:type="spellStart"/>
      <w:r w:rsidRPr="00F3311F">
        <w:rPr>
          <w:rFonts w:asciiTheme="majorHAnsi" w:hAnsiTheme="majorHAnsi" w:cstheme="majorHAnsi"/>
          <w:b/>
          <w:i/>
          <w:color w:val="212121"/>
          <w:sz w:val="24"/>
          <w:szCs w:val="22"/>
          <w:lang w:val="es-ES" w:eastAsia="fr-FR"/>
        </w:rPr>
        <w:t>Agricultural</w:t>
      </w:r>
      <w:proofErr w:type="spellEnd"/>
      <w:r w:rsidRPr="00F3311F">
        <w:rPr>
          <w:rFonts w:asciiTheme="majorHAnsi" w:hAnsiTheme="majorHAnsi" w:cstheme="majorHAnsi"/>
          <w:b/>
          <w:i/>
          <w:color w:val="212121"/>
          <w:sz w:val="24"/>
          <w:szCs w:val="22"/>
          <w:lang w:val="es-ES" w:eastAsia="fr-FR"/>
        </w:rPr>
        <w:t xml:space="preserve"> </w:t>
      </w:r>
      <w:proofErr w:type="spellStart"/>
      <w:r w:rsidRPr="00F3311F">
        <w:rPr>
          <w:rFonts w:asciiTheme="majorHAnsi" w:hAnsiTheme="majorHAnsi" w:cstheme="majorHAnsi"/>
          <w:b/>
          <w:i/>
          <w:color w:val="212121"/>
          <w:sz w:val="24"/>
          <w:szCs w:val="22"/>
          <w:lang w:val="es-ES" w:eastAsia="fr-FR"/>
        </w:rPr>
        <w:t>Markets</w:t>
      </w:r>
      <w:proofErr w:type="spellEnd"/>
      <w:r w:rsidRPr="00F3311F">
        <w:rPr>
          <w:rFonts w:asciiTheme="majorHAnsi" w:hAnsiTheme="majorHAnsi" w:cstheme="majorHAnsi"/>
          <w:b/>
          <w:i/>
          <w:color w:val="212121"/>
          <w:sz w:val="24"/>
          <w:szCs w:val="22"/>
          <w:lang w:val="es-ES" w:eastAsia="fr-FR"/>
        </w:rPr>
        <w:t xml:space="preserve"> </w:t>
      </w:r>
      <w:proofErr w:type="spellStart"/>
      <w:r w:rsidRPr="00F3311F">
        <w:rPr>
          <w:rFonts w:asciiTheme="majorHAnsi" w:hAnsiTheme="majorHAnsi" w:cstheme="majorHAnsi"/>
          <w:b/>
          <w:i/>
          <w:color w:val="212121"/>
          <w:sz w:val="24"/>
          <w:szCs w:val="22"/>
          <w:lang w:val="es-ES" w:eastAsia="fr-FR"/>
        </w:rPr>
        <w:t>Task</w:t>
      </w:r>
      <w:proofErr w:type="spellEnd"/>
      <w:r w:rsidRPr="00F3311F">
        <w:rPr>
          <w:rFonts w:asciiTheme="majorHAnsi" w:hAnsiTheme="majorHAnsi" w:cstheme="majorHAnsi"/>
          <w:b/>
          <w:i/>
          <w:color w:val="212121"/>
          <w:sz w:val="24"/>
          <w:szCs w:val="22"/>
          <w:lang w:val="es-ES" w:eastAsia="fr-FR"/>
        </w:rPr>
        <w:t xml:space="preserve"> </w:t>
      </w:r>
      <w:proofErr w:type="spellStart"/>
      <w:r w:rsidRPr="00F3311F">
        <w:rPr>
          <w:rFonts w:asciiTheme="majorHAnsi" w:hAnsiTheme="majorHAnsi" w:cstheme="majorHAnsi"/>
          <w:b/>
          <w:i/>
          <w:color w:val="212121"/>
          <w:sz w:val="24"/>
          <w:szCs w:val="22"/>
          <w:lang w:val="es-ES" w:eastAsia="fr-FR"/>
        </w:rPr>
        <w:t>Force</w:t>
      </w:r>
      <w:proofErr w:type="spellEnd"/>
      <w:r w:rsidRPr="00F3311F">
        <w:rPr>
          <w:rFonts w:asciiTheme="majorHAnsi" w:hAnsiTheme="majorHAnsi" w:cstheme="majorHAnsi"/>
          <w:b/>
          <w:i/>
          <w:color w:val="212121"/>
          <w:sz w:val="24"/>
          <w:szCs w:val="22"/>
          <w:lang w:val="es-ES" w:eastAsia="fr-FR"/>
        </w:rPr>
        <w:t>, (AMTF)</w:t>
      </w:r>
      <w:r w:rsidRPr="00F3311F">
        <w:rPr>
          <w:rFonts w:asciiTheme="majorHAnsi" w:hAnsiTheme="majorHAnsi" w:cstheme="majorHAnsi"/>
          <w:color w:val="212121"/>
          <w:sz w:val="24"/>
          <w:szCs w:val="22"/>
          <w:lang w:val="es-ES" w:eastAsia="fr-FR"/>
        </w:rPr>
        <w:t>. La creación de este Grupo operativo fue reflejo de la preocupación creciente sobre la evolución mundial de la cadena de suministro de alimentos y, en particular, sobre la posición del productor en dicha cadena. Por ello, se pidió al Grupo que analizara el funcionamiento de la cadena alimentaria y propusiera recomendaciones concretas que permitieran mejorar la posición negociadora de los productores en la cadena de suministro.</w:t>
      </w:r>
    </w:p>
    <w:p w14:paraId="115E684F" w14:textId="77777777" w:rsidR="00BC1AD2" w:rsidRPr="00F3311F" w:rsidRDefault="00BC1AD2" w:rsidP="00D471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HAnsi" w:hAnsiTheme="majorHAnsi" w:cstheme="majorHAnsi"/>
          <w:color w:val="212121"/>
          <w:sz w:val="24"/>
          <w:szCs w:val="22"/>
          <w:lang w:val="es-ES" w:eastAsia="fr-FR"/>
        </w:rPr>
      </w:pPr>
    </w:p>
    <w:p w14:paraId="6DD459E4"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r w:rsidRPr="00F3311F">
        <w:rPr>
          <w:rFonts w:asciiTheme="majorHAnsi" w:hAnsiTheme="majorHAnsi" w:cstheme="majorHAnsi"/>
          <w:color w:val="000000"/>
          <w:kern w:val="24"/>
          <w:sz w:val="24"/>
          <w:szCs w:val="22"/>
          <w:lang w:eastAsia="fr-FR"/>
        </w:rPr>
        <w:t>El grupo presentó en noviembre de 2016 su informe “</w:t>
      </w:r>
      <w:r w:rsidRPr="00F3311F">
        <w:rPr>
          <w:rFonts w:asciiTheme="majorHAnsi" w:hAnsiTheme="majorHAnsi" w:cstheme="majorHAnsi"/>
          <w:b/>
          <w:bCs/>
          <w:i/>
          <w:color w:val="000000"/>
          <w:kern w:val="24"/>
          <w:sz w:val="24"/>
          <w:szCs w:val="22"/>
          <w:lang w:eastAsia="fr-FR"/>
        </w:rPr>
        <w:t>Mejora de los resultados del mercado: mejora de la posición de los agricultores en la cadena de suministro</w:t>
      </w:r>
      <w:r w:rsidRPr="00F3311F">
        <w:rPr>
          <w:rFonts w:asciiTheme="majorHAnsi" w:hAnsiTheme="majorHAnsi" w:cstheme="majorHAnsi"/>
          <w:i/>
          <w:color w:val="000000"/>
          <w:kern w:val="24"/>
          <w:sz w:val="24"/>
          <w:szCs w:val="22"/>
          <w:lang w:eastAsia="fr-FR"/>
        </w:rPr>
        <w:t>”</w:t>
      </w:r>
      <w:r w:rsidRPr="00F3311F">
        <w:rPr>
          <w:rFonts w:asciiTheme="majorHAnsi" w:hAnsiTheme="majorHAnsi" w:cstheme="majorHAnsi"/>
          <w:color w:val="000000"/>
          <w:kern w:val="24"/>
          <w:sz w:val="24"/>
          <w:szCs w:val="22"/>
          <w:lang w:eastAsia="fr-FR"/>
        </w:rPr>
        <w:t>, en el que, entre otras cuestiones, se recomendaba la introducción de legislación a nivel europeo frente a las PCD. En concreto, se realizaban las siguientes recomendaciones:</w:t>
      </w:r>
    </w:p>
    <w:p w14:paraId="06896CB4"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p>
    <w:p w14:paraId="611BE604"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color w:val="000000"/>
          <w:kern w:val="24"/>
          <w:sz w:val="24"/>
          <w:szCs w:val="22"/>
          <w:lang w:val="es-ES" w:eastAsia="fr-FR"/>
        </w:rPr>
        <w:t xml:space="preserve">Introducción de un </w:t>
      </w:r>
      <w:r w:rsidRPr="00F3311F">
        <w:rPr>
          <w:rFonts w:asciiTheme="majorHAnsi" w:hAnsiTheme="majorHAnsi" w:cstheme="majorHAnsi"/>
          <w:bCs/>
          <w:color w:val="000000"/>
          <w:kern w:val="24"/>
          <w:sz w:val="24"/>
          <w:szCs w:val="22"/>
          <w:lang w:val="es-ES" w:eastAsia="fr-FR"/>
        </w:rPr>
        <w:t xml:space="preserve">marco legislativo comunitario de referencia </w:t>
      </w:r>
      <w:r w:rsidRPr="00F3311F">
        <w:rPr>
          <w:rFonts w:asciiTheme="majorHAnsi" w:hAnsiTheme="majorHAnsi" w:cstheme="majorHAnsi"/>
          <w:color w:val="000000"/>
          <w:kern w:val="24"/>
          <w:sz w:val="24"/>
          <w:szCs w:val="22"/>
          <w:lang w:val="es-ES" w:eastAsia="fr-FR"/>
        </w:rPr>
        <w:t>con una base armonizada de Prácticas Comerciales Desleales (</w:t>
      </w:r>
      <w:proofErr w:type="spellStart"/>
      <w:r w:rsidRPr="00F3311F">
        <w:rPr>
          <w:rFonts w:asciiTheme="majorHAnsi" w:hAnsiTheme="majorHAnsi" w:cstheme="majorHAnsi"/>
          <w:color w:val="000000"/>
          <w:kern w:val="24"/>
          <w:sz w:val="24"/>
          <w:szCs w:val="22"/>
          <w:lang w:val="es-ES" w:eastAsia="fr-FR"/>
        </w:rPr>
        <w:t>PCDs</w:t>
      </w:r>
      <w:proofErr w:type="spellEnd"/>
      <w:r w:rsidRPr="00F3311F">
        <w:rPr>
          <w:rFonts w:asciiTheme="majorHAnsi" w:hAnsiTheme="majorHAnsi" w:cstheme="majorHAnsi"/>
          <w:color w:val="000000"/>
          <w:kern w:val="24"/>
          <w:sz w:val="24"/>
          <w:szCs w:val="22"/>
          <w:lang w:val="es-ES" w:eastAsia="fr-FR"/>
        </w:rPr>
        <w:t>) prohibidas.</w:t>
      </w:r>
    </w:p>
    <w:p w14:paraId="0654233D"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bCs/>
          <w:color w:val="000000"/>
          <w:kern w:val="24"/>
          <w:sz w:val="24"/>
          <w:szCs w:val="22"/>
          <w:lang w:val="es-ES" w:eastAsia="fr-FR"/>
        </w:rPr>
        <w:t xml:space="preserve">Aplicación efectiva de las normas </w:t>
      </w:r>
      <w:r w:rsidRPr="00F3311F">
        <w:rPr>
          <w:rFonts w:asciiTheme="majorHAnsi" w:hAnsiTheme="majorHAnsi" w:cstheme="majorHAnsi"/>
          <w:color w:val="000000"/>
          <w:kern w:val="24"/>
          <w:sz w:val="24"/>
          <w:szCs w:val="22"/>
          <w:lang w:val="es-ES" w:eastAsia="fr-FR"/>
        </w:rPr>
        <w:t xml:space="preserve">frente a las </w:t>
      </w:r>
      <w:proofErr w:type="spellStart"/>
      <w:r w:rsidRPr="00F3311F">
        <w:rPr>
          <w:rFonts w:asciiTheme="majorHAnsi" w:hAnsiTheme="majorHAnsi" w:cstheme="majorHAnsi"/>
          <w:color w:val="000000"/>
          <w:kern w:val="24"/>
          <w:sz w:val="24"/>
          <w:szCs w:val="22"/>
          <w:lang w:val="es-ES" w:eastAsia="fr-FR"/>
        </w:rPr>
        <w:t>PCDs</w:t>
      </w:r>
      <w:proofErr w:type="spellEnd"/>
      <w:r w:rsidRPr="00F3311F">
        <w:rPr>
          <w:rFonts w:asciiTheme="majorHAnsi" w:hAnsiTheme="majorHAnsi" w:cstheme="majorHAnsi"/>
          <w:color w:val="000000"/>
          <w:kern w:val="24"/>
          <w:sz w:val="24"/>
          <w:szCs w:val="22"/>
          <w:lang w:val="es-ES" w:eastAsia="fr-FR"/>
        </w:rPr>
        <w:t>.</w:t>
      </w:r>
    </w:p>
    <w:p w14:paraId="64D89155"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color w:val="000000"/>
          <w:kern w:val="24"/>
          <w:sz w:val="24"/>
          <w:szCs w:val="22"/>
          <w:lang w:val="es-ES" w:eastAsia="fr-FR"/>
        </w:rPr>
        <w:t xml:space="preserve">Creación de una </w:t>
      </w:r>
      <w:r w:rsidRPr="00F3311F">
        <w:rPr>
          <w:rFonts w:asciiTheme="majorHAnsi" w:hAnsiTheme="majorHAnsi" w:cstheme="majorHAnsi"/>
          <w:bCs/>
          <w:color w:val="000000"/>
          <w:kern w:val="24"/>
          <w:sz w:val="24"/>
          <w:szCs w:val="22"/>
          <w:lang w:val="es-ES" w:eastAsia="fr-FR"/>
        </w:rPr>
        <w:t xml:space="preserve">autoridad independiente </w:t>
      </w:r>
      <w:r w:rsidRPr="00F3311F">
        <w:rPr>
          <w:rFonts w:asciiTheme="majorHAnsi" w:hAnsiTheme="majorHAnsi" w:cstheme="majorHAnsi"/>
          <w:color w:val="000000"/>
          <w:kern w:val="24"/>
          <w:sz w:val="24"/>
          <w:szCs w:val="22"/>
          <w:lang w:val="es-ES" w:eastAsia="fr-FR"/>
        </w:rPr>
        <w:t>en los EEMM capaz de ejecutar las decisiones. Vencer el “</w:t>
      </w:r>
      <w:r w:rsidRPr="00F3311F">
        <w:rPr>
          <w:rFonts w:asciiTheme="majorHAnsi" w:hAnsiTheme="majorHAnsi" w:cstheme="majorHAnsi"/>
          <w:bCs/>
          <w:color w:val="000000"/>
          <w:kern w:val="24"/>
          <w:sz w:val="24"/>
          <w:szCs w:val="22"/>
          <w:lang w:val="es-ES" w:eastAsia="fr-FR"/>
        </w:rPr>
        <w:t>factor miedo</w:t>
      </w:r>
      <w:r w:rsidRPr="00F3311F">
        <w:rPr>
          <w:rFonts w:asciiTheme="majorHAnsi" w:hAnsiTheme="majorHAnsi" w:cstheme="majorHAnsi"/>
          <w:color w:val="000000"/>
          <w:kern w:val="24"/>
          <w:sz w:val="24"/>
          <w:szCs w:val="22"/>
          <w:lang w:val="es-ES" w:eastAsia="fr-FR"/>
        </w:rPr>
        <w:t>”.</w:t>
      </w:r>
    </w:p>
    <w:p w14:paraId="634C503B"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bCs/>
          <w:color w:val="000000"/>
          <w:kern w:val="24"/>
          <w:sz w:val="24"/>
          <w:szCs w:val="22"/>
          <w:lang w:val="es-ES" w:eastAsia="fr-FR"/>
        </w:rPr>
        <w:t xml:space="preserve">Sanciones efectivas </w:t>
      </w:r>
      <w:r w:rsidRPr="00F3311F">
        <w:rPr>
          <w:rFonts w:asciiTheme="majorHAnsi" w:hAnsiTheme="majorHAnsi" w:cstheme="majorHAnsi"/>
          <w:color w:val="000000"/>
          <w:kern w:val="24"/>
          <w:sz w:val="24"/>
          <w:szCs w:val="22"/>
          <w:lang w:val="es-ES" w:eastAsia="fr-FR"/>
        </w:rPr>
        <w:t>y con carácter disuasorio.</w:t>
      </w:r>
    </w:p>
    <w:p w14:paraId="01AEC5EC"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color w:val="000000"/>
          <w:kern w:val="24"/>
          <w:sz w:val="24"/>
          <w:szCs w:val="22"/>
          <w:lang w:val="es-ES" w:eastAsia="fr-FR"/>
        </w:rPr>
        <w:t xml:space="preserve">Herramientas efectivas en respuesta a las </w:t>
      </w:r>
      <w:proofErr w:type="spellStart"/>
      <w:r w:rsidRPr="00F3311F">
        <w:rPr>
          <w:rFonts w:asciiTheme="majorHAnsi" w:hAnsiTheme="majorHAnsi" w:cstheme="majorHAnsi"/>
          <w:bCs/>
          <w:color w:val="000000"/>
          <w:kern w:val="24"/>
          <w:sz w:val="24"/>
          <w:szCs w:val="22"/>
          <w:lang w:val="es-ES" w:eastAsia="fr-FR"/>
        </w:rPr>
        <w:t>PCDs</w:t>
      </w:r>
      <w:proofErr w:type="spellEnd"/>
      <w:r w:rsidRPr="00F3311F">
        <w:rPr>
          <w:rFonts w:asciiTheme="majorHAnsi" w:hAnsiTheme="majorHAnsi" w:cstheme="majorHAnsi"/>
          <w:bCs/>
          <w:color w:val="000000"/>
          <w:kern w:val="24"/>
          <w:sz w:val="24"/>
          <w:szCs w:val="22"/>
          <w:lang w:val="es-ES" w:eastAsia="fr-FR"/>
        </w:rPr>
        <w:t xml:space="preserve"> transnacionales.</w:t>
      </w:r>
    </w:p>
    <w:p w14:paraId="28EBA416" w14:textId="77777777" w:rsidR="00BC1AD2" w:rsidRPr="00F3311F" w:rsidRDefault="00BC1AD2" w:rsidP="000033C1">
      <w:pPr>
        <w:numPr>
          <w:ilvl w:val="0"/>
          <w:numId w:val="7"/>
        </w:numPr>
        <w:tabs>
          <w:tab w:val="clear" w:pos="720"/>
          <w:tab w:val="num" w:pos="1276"/>
        </w:tabs>
        <w:spacing w:line="276" w:lineRule="auto"/>
        <w:ind w:left="1276" w:hanging="567"/>
        <w:jc w:val="both"/>
        <w:rPr>
          <w:rFonts w:asciiTheme="majorHAnsi" w:hAnsiTheme="majorHAnsi" w:cstheme="majorHAnsi"/>
          <w:color w:val="000000"/>
          <w:kern w:val="24"/>
          <w:sz w:val="24"/>
          <w:szCs w:val="22"/>
          <w:lang w:val="es-ES" w:eastAsia="fr-FR"/>
        </w:rPr>
      </w:pPr>
      <w:r w:rsidRPr="00F3311F">
        <w:rPr>
          <w:rFonts w:asciiTheme="majorHAnsi" w:hAnsiTheme="majorHAnsi" w:cstheme="majorHAnsi"/>
          <w:color w:val="000000"/>
          <w:kern w:val="24"/>
          <w:sz w:val="24"/>
          <w:szCs w:val="22"/>
          <w:lang w:val="es-ES" w:eastAsia="fr-FR"/>
        </w:rPr>
        <w:t>Mejora de la Iniciativa de la Cadena de Suministro.</w:t>
      </w:r>
    </w:p>
    <w:p w14:paraId="7302A00E" w14:textId="77777777" w:rsidR="00BC1AD2" w:rsidRPr="00F3311F" w:rsidRDefault="00BC1AD2" w:rsidP="00D4710E">
      <w:pPr>
        <w:spacing w:line="276" w:lineRule="auto"/>
        <w:jc w:val="both"/>
        <w:rPr>
          <w:rFonts w:asciiTheme="majorHAnsi" w:hAnsiTheme="majorHAnsi" w:cstheme="majorHAnsi"/>
          <w:color w:val="000000"/>
          <w:kern w:val="24"/>
          <w:sz w:val="24"/>
          <w:szCs w:val="22"/>
          <w:lang w:val="es-ES" w:eastAsia="fr-FR"/>
        </w:rPr>
      </w:pPr>
    </w:p>
    <w:p w14:paraId="46C3358B"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r w:rsidRPr="00F3311F">
        <w:rPr>
          <w:rFonts w:asciiTheme="majorHAnsi" w:hAnsiTheme="majorHAnsi" w:cstheme="majorHAnsi"/>
          <w:color w:val="000000"/>
          <w:kern w:val="24"/>
          <w:sz w:val="24"/>
          <w:szCs w:val="22"/>
          <w:lang w:eastAsia="fr-FR"/>
        </w:rPr>
        <w:t>El 12 de diciembre de 2016, el Consejo de Ministros de Agricultura de la Unión Europea, bajo la presidencia de Eslovaquia, teniendo en cuenta las recomendaciones del mencionado informe, aprobó un documento de conclusiones sobre el fortalecimiento de la posición de los agricultores en la cadena alimentaria y la lucha contra las PCD, a través del cual solicitaba a la Comisión a llevar a cabo en tiempo y forma, una evaluación de impacto de cara a proponer un marco legislativo u otras medidas no legislativas sobre las PCD. Dichas conclusiones fueron apoyadas por España, al considerar conveniente adoptar medidas a nivel comunitario que refuercen el buen funcionamiento del mercado interior y potencien una mejor posición de nuestras producciones en los mercados exteriores.</w:t>
      </w:r>
    </w:p>
    <w:p w14:paraId="49E9E418"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p>
    <w:p w14:paraId="2CE05B50" w14:textId="35AC42DE" w:rsidR="00BC1AD2" w:rsidRPr="00F3311F" w:rsidRDefault="00BC1AD2" w:rsidP="00D4710E">
      <w:pPr>
        <w:spacing w:line="276" w:lineRule="auto"/>
        <w:jc w:val="both"/>
        <w:rPr>
          <w:rFonts w:asciiTheme="majorHAnsi" w:hAnsiTheme="majorHAnsi" w:cstheme="majorHAnsi"/>
          <w:i/>
          <w:color w:val="000000"/>
          <w:kern w:val="24"/>
          <w:sz w:val="24"/>
          <w:szCs w:val="22"/>
          <w:lang w:eastAsia="fr-FR"/>
        </w:rPr>
      </w:pPr>
      <w:r w:rsidRPr="00F3311F">
        <w:rPr>
          <w:rFonts w:asciiTheme="majorHAnsi" w:hAnsiTheme="majorHAnsi" w:cstheme="majorHAnsi"/>
          <w:color w:val="000000"/>
          <w:kern w:val="24"/>
          <w:sz w:val="24"/>
          <w:szCs w:val="22"/>
          <w:lang w:eastAsia="fr-FR"/>
        </w:rPr>
        <w:t xml:space="preserve">El programa de trabajo de la Comisión para 2018, indicó que: </w:t>
      </w:r>
      <w:r w:rsidRPr="00F3311F">
        <w:rPr>
          <w:rFonts w:asciiTheme="majorHAnsi" w:hAnsiTheme="majorHAnsi" w:cstheme="majorHAnsi"/>
          <w:i/>
          <w:color w:val="000000"/>
          <w:kern w:val="24"/>
          <w:sz w:val="24"/>
          <w:szCs w:val="22"/>
          <w:lang w:eastAsia="fr-FR"/>
        </w:rPr>
        <w:t xml:space="preserve">“Se </w:t>
      </w:r>
      <w:r w:rsidR="00424CB5" w:rsidRPr="00F3311F">
        <w:rPr>
          <w:rFonts w:asciiTheme="majorHAnsi" w:hAnsiTheme="majorHAnsi" w:cstheme="majorHAnsi"/>
          <w:i/>
          <w:color w:val="000000"/>
          <w:kern w:val="24"/>
          <w:sz w:val="24"/>
          <w:szCs w:val="22"/>
          <w:lang w:eastAsia="fr-FR"/>
        </w:rPr>
        <w:t>propondrían</w:t>
      </w:r>
      <w:r w:rsidRPr="00F3311F">
        <w:rPr>
          <w:rFonts w:asciiTheme="majorHAnsi" w:hAnsiTheme="majorHAnsi" w:cstheme="majorHAnsi"/>
          <w:i/>
          <w:color w:val="000000"/>
          <w:kern w:val="24"/>
          <w:sz w:val="24"/>
          <w:szCs w:val="22"/>
          <w:lang w:eastAsia="fr-FR"/>
        </w:rPr>
        <w:t xml:space="preserve"> medidas para mejorar el funcionamiento de la Cadena Alimentaria, para fortalecer la posición de los agricultores en el mercado”</w:t>
      </w:r>
      <w:r w:rsidRPr="00F3311F">
        <w:rPr>
          <w:rFonts w:asciiTheme="majorHAnsi" w:hAnsiTheme="majorHAnsi" w:cstheme="majorHAnsi"/>
          <w:color w:val="000000"/>
          <w:kern w:val="24"/>
          <w:sz w:val="24"/>
          <w:szCs w:val="22"/>
          <w:lang w:eastAsia="fr-FR"/>
        </w:rPr>
        <w:t xml:space="preserve"> y “</w:t>
      </w:r>
      <w:r w:rsidRPr="00F3311F">
        <w:rPr>
          <w:rFonts w:asciiTheme="majorHAnsi" w:hAnsiTheme="majorHAnsi" w:cstheme="majorHAnsi"/>
          <w:i/>
          <w:color w:val="000000"/>
          <w:kern w:val="24"/>
          <w:sz w:val="24"/>
          <w:szCs w:val="22"/>
          <w:lang w:eastAsia="fr-FR"/>
        </w:rPr>
        <w:t>La Comisión propuso medidas para mejorar el funcionamiento de la cadena de suministro de alimentos con el fin de ayudar a los agricultores a fortalecer su posición en el mercado y protegerlos de futuras crisis».</w:t>
      </w:r>
    </w:p>
    <w:p w14:paraId="361BE9CC" w14:textId="77777777" w:rsidR="00BC1AD2" w:rsidRPr="00F3311F" w:rsidRDefault="00BC1AD2" w:rsidP="00D4710E">
      <w:pPr>
        <w:spacing w:line="276" w:lineRule="auto"/>
        <w:jc w:val="both"/>
        <w:rPr>
          <w:rFonts w:asciiTheme="majorHAnsi" w:hAnsiTheme="majorHAnsi" w:cstheme="majorHAnsi"/>
          <w:color w:val="000000"/>
          <w:sz w:val="24"/>
          <w:szCs w:val="22"/>
          <w:lang w:val="es-ES"/>
        </w:rPr>
      </w:pPr>
    </w:p>
    <w:p w14:paraId="67E519DD"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r w:rsidRPr="00F3311F">
        <w:rPr>
          <w:rFonts w:asciiTheme="majorHAnsi" w:hAnsiTheme="majorHAnsi" w:cstheme="majorHAnsi"/>
          <w:color w:val="000000"/>
          <w:kern w:val="24"/>
          <w:sz w:val="24"/>
          <w:szCs w:val="22"/>
          <w:lang w:eastAsia="fr-FR"/>
        </w:rPr>
        <w:t xml:space="preserve">Por todo ello la Comisión definió una estrategia de consulta que se llevó a cabo entre julio y diciembre de 2017. A través de esta estrategia, se invitaba a las partes interesadas a formular sus comentarios, definir el problema, las necesidades, la posible repercusión en materia de </w:t>
      </w:r>
      <w:proofErr w:type="spellStart"/>
      <w:r w:rsidRPr="00F3311F">
        <w:rPr>
          <w:rFonts w:asciiTheme="majorHAnsi" w:hAnsiTheme="majorHAnsi" w:cstheme="majorHAnsi"/>
          <w:color w:val="000000"/>
          <w:kern w:val="24"/>
          <w:sz w:val="24"/>
          <w:szCs w:val="22"/>
          <w:lang w:eastAsia="fr-FR"/>
        </w:rPr>
        <w:t>PCDs</w:t>
      </w:r>
      <w:proofErr w:type="spellEnd"/>
      <w:r w:rsidRPr="00F3311F">
        <w:rPr>
          <w:rFonts w:asciiTheme="majorHAnsi" w:hAnsiTheme="majorHAnsi" w:cstheme="majorHAnsi"/>
          <w:color w:val="000000"/>
          <w:kern w:val="24"/>
          <w:sz w:val="24"/>
          <w:szCs w:val="22"/>
          <w:lang w:eastAsia="fr-FR"/>
        </w:rPr>
        <w:t xml:space="preserve">. </w:t>
      </w:r>
    </w:p>
    <w:p w14:paraId="5B1E1C8F"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p>
    <w:p w14:paraId="2D3A7BA8"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r w:rsidRPr="00F3311F">
        <w:rPr>
          <w:rFonts w:asciiTheme="majorHAnsi" w:hAnsiTheme="majorHAnsi" w:cstheme="majorHAnsi"/>
          <w:color w:val="000000"/>
          <w:kern w:val="24"/>
          <w:sz w:val="24"/>
          <w:szCs w:val="22"/>
          <w:lang w:eastAsia="fr-FR"/>
        </w:rPr>
        <w:t xml:space="preserve">La mayoría de las contribuciones recibidas marcaron el establecimiento de una legislación marco para proteger a los operadores más débiles de la cadena alimentaria, como la opción más viable. </w:t>
      </w:r>
    </w:p>
    <w:p w14:paraId="37A6B07A" w14:textId="77777777" w:rsidR="00BC1AD2" w:rsidRPr="00F3311F" w:rsidRDefault="00BC1AD2" w:rsidP="00D4710E">
      <w:pPr>
        <w:spacing w:line="276" w:lineRule="auto"/>
        <w:jc w:val="both"/>
        <w:rPr>
          <w:rFonts w:asciiTheme="majorHAnsi" w:hAnsiTheme="majorHAnsi" w:cstheme="majorHAnsi"/>
          <w:color w:val="000000"/>
          <w:kern w:val="24"/>
          <w:sz w:val="24"/>
          <w:szCs w:val="22"/>
          <w:lang w:eastAsia="fr-FR"/>
        </w:rPr>
      </w:pPr>
    </w:p>
    <w:p w14:paraId="10CD0700" w14:textId="77777777" w:rsidR="00BC1AD2" w:rsidRPr="00F3311F" w:rsidRDefault="00BC1AD2" w:rsidP="00D4710E">
      <w:pPr>
        <w:shd w:val="clear" w:color="auto" w:fill="FFFFFF"/>
        <w:spacing w:before="60" w:after="60" w:line="276" w:lineRule="auto"/>
        <w:jc w:val="both"/>
        <w:rPr>
          <w:rFonts w:asciiTheme="majorHAnsi" w:hAnsiTheme="majorHAnsi" w:cstheme="majorHAnsi"/>
          <w:color w:val="000000"/>
          <w:kern w:val="24"/>
          <w:sz w:val="24"/>
          <w:szCs w:val="22"/>
          <w:lang w:eastAsia="fr-FR"/>
        </w:rPr>
      </w:pPr>
      <w:r w:rsidRPr="006E65C9">
        <w:rPr>
          <w:rFonts w:asciiTheme="majorHAnsi" w:hAnsiTheme="majorHAnsi" w:cstheme="majorHAnsi"/>
          <w:color w:val="000000"/>
          <w:kern w:val="24"/>
          <w:sz w:val="24"/>
          <w:szCs w:val="22"/>
          <w:lang w:eastAsia="fr-FR"/>
        </w:rPr>
        <w:t xml:space="preserve">Finalmente, en abril de 2018 el Comisario </w:t>
      </w:r>
      <w:proofErr w:type="spellStart"/>
      <w:r w:rsidRPr="006E65C9">
        <w:rPr>
          <w:rFonts w:asciiTheme="majorHAnsi" w:hAnsiTheme="majorHAnsi" w:cstheme="majorHAnsi"/>
          <w:color w:val="000000"/>
          <w:kern w:val="24"/>
          <w:sz w:val="24"/>
          <w:szCs w:val="22"/>
          <w:lang w:eastAsia="fr-FR"/>
        </w:rPr>
        <w:t>Hogan</w:t>
      </w:r>
      <w:proofErr w:type="spellEnd"/>
      <w:r w:rsidRPr="006E65C9">
        <w:rPr>
          <w:rFonts w:asciiTheme="majorHAnsi" w:hAnsiTheme="majorHAnsi" w:cstheme="majorHAnsi"/>
          <w:color w:val="000000"/>
          <w:kern w:val="24"/>
          <w:sz w:val="24"/>
          <w:szCs w:val="22"/>
          <w:lang w:eastAsia="fr-FR"/>
        </w:rPr>
        <w:t xml:space="preserve">, acompañado por el vicepresidente </w:t>
      </w:r>
      <w:proofErr w:type="spellStart"/>
      <w:r w:rsidRPr="006E65C9">
        <w:rPr>
          <w:rFonts w:asciiTheme="majorHAnsi" w:hAnsiTheme="majorHAnsi" w:cstheme="majorHAnsi"/>
          <w:color w:val="000000"/>
          <w:kern w:val="24"/>
          <w:sz w:val="24"/>
          <w:szCs w:val="22"/>
          <w:lang w:eastAsia="fr-FR"/>
        </w:rPr>
        <w:t>Jyrki</w:t>
      </w:r>
      <w:proofErr w:type="spellEnd"/>
      <w:r w:rsidRPr="006E65C9">
        <w:rPr>
          <w:rFonts w:asciiTheme="majorHAnsi" w:hAnsiTheme="majorHAnsi" w:cstheme="majorHAnsi"/>
          <w:color w:val="000000"/>
          <w:kern w:val="24"/>
          <w:sz w:val="24"/>
          <w:szCs w:val="22"/>
          <w:lang w:eastAsia="fr-FR"/>
        </w:rPr>
        <w:t> </w:t>
      </w:r>
      <w:proofErr w:type="spellStart"/>
      <w:r w:rsidRPr="006E65C9">
        <w:rPr>
          <w:rFonts w:asciiTheme="majorHAnsi" w:hAnsiTheme="majorHAnsi" w:cstheme="majorHAnsi"/>
          <w:bCs/>
          <w:kern w:val="24"/>
          <w:sz w:val="24"/>
          <w:szCs w:val="22"/>
          <w:lang w:eastAsia="fr-FR"/>
        </w:rPr>
        <w:t>Katainen</w:t>
      </w:r>
      <w:proofErr w:type="spellEnd"/>
      <w:r w:rsidRPr="006E65C9">
        <w:rPr>
          <w:rFonts w:asciiTheme="majorHAnsi" w:hAnsiTheme="majorHAnsi" w:cstheme="majorHAnsi"/>
          <w:bCs/>
          <w:kern w:val="24"/>
          <w:sz w:val="24"/>
          <w:szCs w:val="22"/>
          <w:lang w:eastAsia="fr-FR"/>
        </w:rPr>
        <w:t>,</w:t>
      </w:r>
      <w:r w:rsidRPr="006E65C9">
        <w:rPr>
          <w:rFonts w:asciiTheme="majorHAnsi" w:hAnsiTheme="majorHAnsi" w:cstheme="majorHAnsi"/>
          <w:color w:val="000000"/>
          <w:kern w:val="24"/>
          <w:sz w:val="24"/>
          <w:szCs w:val="22"/>
          <w:lang w:eastAsia="fr-FR"/>
        </w:rPr>
        <w:t xml:space="preserve"> presentó la propuesta de Directiva sobre Prácticas Comerciales Desleales en las relaciones entre empresas en la cadena de suministro de alimentos</w:t>
      </w:r>
      <w:r w:rsidRPr="00F3311F">
        <w:rPr>
          <w:rFonts w:asciiTheme="majorHAnsi" w:hAnsiTheme="majorHAnsi" w:cstheme="majorHAnsi"/>
          <w:b/>
          <w:color w:val="000000"/>
          <w:kern w:val="24"/>
          <w:sz w:val="24"/>
          <w:szCs w:val="22"/>
          <w:lang w:eastAsia="fr-FR"/>
        </w:rPr>
        <w:t>.</w:t>
      </w:r>
      <w:r w:rsidRPr="00F3311F">
        <w:rPr>
          <w:rFonts w:asciiTheme="majorHAnsi" w:hAnsiTheme="majorHAnsi" w:cstheme="majorHAnsi"/>
          <w:color w:val="000000"/>
          <w:kern w:val="24"/>
          <w:sz w:val="24"/>
          <w:szCs w:val="22"/>
          <w:lang w:eastAsia="fr-FR"/>
        </w:rPr>
        <w:t xml:space="preserve"> Esta iniciativa se ajusta a las referencias a la cadena de suministro de alimentos que hizo el Presidente </w:t>
      </w:r>
      <w:proofErr w:type="spellStart"/>
      <w:r w:rsidRPr="00F3311F">
        <w:rPr>
          <w:rFonts w:asciiTheme="majorHAnsi" w:hAnsiTheme="majorHAnsi" w:cstheme="majorHAnsi"/>
          <w:color w:val="000000"/>
          <w:kern w:val="24"/>
          <w:sz w:val="24"/>
          <w:szCs w:val="22"/>
          <w:lang w:eastAsia="fr-FR"/>
        </w:rPr>
        <w:t>Juncker</w:t>
      </w:r>
      <w:proofErr w:type="spellEnd"/>
      <w:r w:rsidRPr="00F3311F">
        <w:rPr>
          <w:rFonts w:asciiTheme="majorHAnsi" w:hAnsiTheme="majorHAnsi" w:cstheme="majorHAnsi"/>
          <w:color w:val="000000"/>
          <w:kern w:val="24"/>
          <w:sz w:val="24"/>
          <w:szCs w:val="22"/>
          <w:lang w:eastAsia="fr-FR"/>
        </w:rPr>
        <w:t xml:space="preserve"> en sus discursos sobre el estado de la Unión de 2015 y 2016, y constituye una respuesta política a la resolución del Parlamento Europeo adoptada en junio de 2016, en la que se invitaba a la Comisión Europea a presentar una propuesta para un marco a escala de la Unión relativo a las prácticas comerciales desleales.</w:t>
      </w:r>
    </w:p>
    <w:p w14:paraId="249233D7" w14:textId="77777777" w:rsidR="00BC1AD2" w:rsidRPr="00F3311F" w:rsidRDefault="00BC1AD2" w:rsidP="00D4710E">
      <w:pPr>
        <w:shd w:val="clear" w:color="auto" w:fill="FFFFFF"/>
        <w:spacing w:before="60" w:after="60" w:line="276" w:lineRule="auto"/>
        <w:jc w:val="both"/>
        <w:rPr>
          <w:rFonts w:asciiTheme="majorHAnsi" w:hAnsiTheme="majorHAnsi" w:cstheme="majorHAnsi"/>
          <w:i/>
          <w:iCs/>
          <w:kern w:val="24"/>
          <w:sz w:val="24"/>
          <w:szCs w:val="22"/>
          <w:lang w:eastAsia="fr-FR"/>
        </w:rPr>
      </w:pPr>
      <w:r w:rsidRPr="00F3311F">
        <w:rPr>
          <w:rFonts w:asciiTheme="majorHAnsi" w:hAnsiTheme="majorHAnsi" w:cstheme="majorHAnsi"/>
          <w:color w:val="000000"/>
          <w:kern w:val="24"/>
          <w:sz w:val="24"/>
          <w:szCs w:val="22"/>
          <w:lang w:eastAsia="fr-FR"/>
        </w:rPr>
        <w:t xml:space="preserve">En la presentación, el vicepresidente </w:t>
      </w:r>
      <w:proofErr w:type="spellStart"/>
      <w:r w:rsidRPr="00F3311F">
        <w:rPr>
          <w:rFonts w:asciiTheme="majorHAnsi" w:hAnsiTheme="majorHAnsi" w:cstheme="majorHAnsi"/>
          <w:bCs/>
          <w:kern w:val="24"/>
          <w:sz w:val="24"/>
          <w:szCs w:val="22"/>
          <w:lang w:eastAsia="fr-FR"/>
        </w:rPr>
        <w:t>Katainen</w:t>
      </w:r>
      <w:proofErr w:type="spellEnd"/>
      <w:r w:rsidRPr="00F3311F">
        <w:rPr>
          <w:rFonts w:asciiTheme="majorHAnsi" w:hAnsiTheme="majorHAnsi" w:cstheme="majorHAnsi"/>
          <w:color w:val="000000"/>
          <w:kern w:val="24"/>
          <w:sz w:val="24"/>
          <w:szCs w:val="22"/>
          <w:lang w:eastAsia="fr-FR"/>
        </w:rPr>
        <w:t>, responsable de Fomento del Empleo, Crecimiento, Inversión y Competitividad, dijo: </w:t>
      </w:r>
      <w:r w:rsidRPr="00F3311F">
        <w:rPr>
          <w:rFonts w:asciiTheme="majorHAnsi" w:hAnsiTheme="majorHAnsi" w:cstheme="majorHAnsi"/>
          <w:i/>
          <w:iCs/>
          <w:kern w:val="24"/>
          <w:sz w:val="24"/>
          <w:szCs w:val="22"/>
          <w:lang w:eastAsia="fr-FR"/>
        </w:rPr>
        <w:t>«En la cadena de suministro de alimentos hay desequilibrios en el poder de negociación y con esta propuesta la Comisión aborda las prácticas comerciales desleales de forma directa. Actuamos porque los comportamientos comerciales injustos perjudican la viabilidad económica de los operadores de la cadena. Al establecer normas mínimas y reforzar su aplicación, la propuesta debería garantizar que estos operadores puedan competir en igualdad de condiciones, contribuyendo así a la eficacia global de la cadena. Un mensaje claro para un comportamiento comercial más justo.»</w:t>
      </w:r>
    </w:p>
    <w:p w14:paraId="17DB725C" w14:textId="17227298" w:rsidR="00BC1AD2" w:rsidRPr="00F3311F" w:rsidRDefault="00BC1AD2" w:rsidP="00D4710E">
      <w:pPr>
        <w:shd w:val="clear" w:color="auto" w:fill="FFFFFF"/>
        <w:spacing w:before="60" w:after="60" w:line="276" w:lineRule="auto"/>
        <w:jc w:val="both"/>
        <w:rPr>
          <w:rFonts w:asciiTheme="majorHAnsi" w:hAnsiTheme="majorHAnsi" w:cstheme="majorHAnsi"/>
          <w:iCs/>
          <w:kern w:val="24"/>
          <w:sz w:val="24"/>
          <w:szCs w:val="24"/>
          <w:lang w:eastAsia="fr-FR"/>
        </w:rPr>
      </w:pPr>
      <w:r w:rsidRPr="00F3311F">
        <w:rPr>
          <w:rFonts w:asciiTheme="majorHAnsi" w:hAnsiTheme="majorHAnsi" w:cstheme="majorHAnsi"/>
          <w:iCs/>
          <w:kern w:val="24"/>
          <w:sz w:val="24"/>
          <w:szCs w:val="22"/>
          <w:lang w:eastAsia="fr-FR"/>
        </w:rPr>
        <w:t xml:space="preserve">Finalmente el pasado 25 de abril se publicó en Diario Oficial de la UE </w:t>
      </w:r>
      <w:r w:rsidR="00232B9D">
        <w:rPr>
          <w:rFonts w:asciiTheme="majorHAnsi" w:hAnsiTheme="majorHAnsi" w:cstheme="majorHAnsi"/>
          <w:iCs/>
          <w:kern w:val="24"/>
          <w:sz w:val="24"/>
          <w:szCs w:val="22"/>
          <w:lang w:val="es-ES" w:eastAsia="fr-FR"/>
        </w:rPr>
        <w:t>la Directiva (UE) 2019/633</w:t>
      </w:r>
      <w:r w:rsidRPr="00F3311F">
        <w:rPr>
          <w:rFonts w:asciiTheme="majorHAnsi" w:hAnsiTheme="majorHAnsi" w:cstheme="majorHAnsi"/>
          <w:iCs/>
          <w:kern w:val="24"/>
          <w:sz w:val="24"/>
          <w:szCs w:val="22"/>
          <w:lang w:val="es-ES" w:eastAsia="fr-FR"/>
        </w:rPr>
        <w:t xml:space="preserve"> sobre prácticas desleales en la cadena alimentaria</w:t>
      </w:r>
      <w:r w:rsidRPr="00F3311F">
        <w:rPr>
          <w:rFonts w:asciiTheme="majorHAnsi" w:hAnsiTheme="majorHAnsi" w:cstheme="majorHAnsi"/>
          <w:iCs/>
          <w:kern w:val="24"/>
          <w:sz w:val="24"/>
          <w:szCs w:val="24"/>
          <w:lang w:val="es-ES" w:eastAsia="fr-FR"/>
        </w:rPr>
        <w:t>.</w:t>
      </w:r>
    </w:p>
    <w:p w14:paraId="63343ABC" w14:textId="77777777" w:rsidR="00424CB5" w:rsidRPr="009C0843" w:rsidRDefault="00424CB5" w:rsidP="00D4710E">
      <w:pPr>
        <w:spacing w:line="276" w:lineRule="auto"/>
        <w:jc w:val="both"/>
        <w:rPr>
          <w:rFonts w:asciiTheme="majorHAnsi" w:hAnsiTheme="majorHAnsi" w:cstheme="majorHAnsi"/>
          <w:b/>
          <w:sz w:val="22"/>
          <w:lang w:eastAsia="en-US"/>
        </w:rPr>
      </w:pPr>
    </w:p>
    <w:p w14:paraId="4AF56E43" w14:textId="77777777" w:rsidR="00424CB5" w:rsidRDefault="00424CB5" w:rsidP="00D4710E">
      <w:pPr>
        <w:spacing w:line="276" w:lineRule="auto"/>
        <w:jc w:val="both"/>
        <w:rPr>
          <w:rFonts w:asciiTheme="majorHAnsi" w:hAnsiTheme="majorHAnsi" w:cstheme="majorHAnsi"/>
          <w:sz w:val="22"/>
          <w:lang w:val="es-ES" w:eastAsia="en-US"/>
        </w:rPr>
      </w:pPr>
    </w:p>
    <w:p w14:paraId="65EBB7C7" w14:textId="77777777" w:rsidR="00F30E9E" w:rsidRPr="009C0843" w:rsidRDefault="00F30E9E" w:rsidP="00D4710E">
      <w:pPr>
        <w:spacing w:line="276" w:lineRule="auto"/>
        <w:jc w:val="both"/>
        <w:rPr>
          <w:rFonts w:asciiTheme="majorHAnsi" w:hAnsiTheme="majorHAnsi" w:cstheme="majorHAnsi"/>
          <w:sz w:val="22"/>
          <w:lang w:val="es-ES" w:eastAsia="en-US"/>
        </w:rPr>
      </w:pPr>
    </w:p>
    <w:p w14:paraId="715C474E" w14:textId="5CCBD806" w:rsidR="00D80CC7" w:rsidRPr="00424CB5" w:rsidRDefault="00D80CC7" w:rsidP="00D4710E">
      <w:pPr>
        <w:pStyle w:val="Prrafodelista"/>
        <w:spacing w:after="240" w:line="276" w:lineRule="auto"/>
        <w:ind w:firstLine="301"/>
        <w:jc w:val="both"/>
        <w:rPr>
          <w:rFonts w:asciiTheme="majorHAnsi" w:hAnsiTheme="majorHAnsi" w:cstheme="majorHAnsi"/>
          <w:b/>
          <w:color w:val="FF0000"/>
          <w:sz w:val="24"/>
          <w:szCs w:val="18"/>
        </w:rPr>
      </w:pPr>
      <w:r w:rsidRPr="00424CB5">
        <w:rPr>
          <w:rFonts w:asciiTheme="majorHAnsi" w:hAnsiTheme="majorHAnsi" w:cstheme="majorHAnsi"/>
          <w:b/>
          <w:sz w:val="24"/>
          <w:szCs w:val="18"/>
        </w:rPr>
        <w:lastRenderedPageBreak/>
        <w:t xml:space="preserve">-  Ley 12/2013 </w:t>
      </w:r>
      <w:r w:rsidR="001A19E6" w:rsidRPr="00424CB5">
        <w:rPr>
          <w:rFonts w:asciiTheme="majorHAnsi" w:hAnsiTheme="majorHAnsi" w:cstheme="majorHAnsi"/>
          <w:b/>
          <w:sz w:val="24"/>
          <w:szCs w:val="18"/>
        </w:rPr>
        <w:t>de Mejora del Funcionamiento de la Cadena Alimentaria</w:t>
      </w:r>
    </w:p>
    <w:p w14:paraId="7EE60052" w14:textId="77777777" w:rsidR="00A567AC" w:rsidRPr="00F3311F" w:rsidRDefault="00A567AC" w:rsidP="00D4710E">
      <w:pPr>
        <w:pStyle w:val="NormalWeb"/>
        <w:spacing w:after="200" w:afterAutospacing="0" w:line="276" w:lineRule="auto"/>
        <w:rPr>
          <w:rFonts w:asciiTheme="majorHAnsi" w:hAnsiTheme="majorHAnsi" w:cstheme="majorHAnsi"/>
          <w:szCs w:val="22"/>
          <w:lang w:val="es-ES_tradnl"/>
        </w:rPr>
      </w:pPr>
      <w:r w:rsidRPr="00F3311F">
        <w:rPr>
          <w:rFonts w:asciiTheme="majorHAnsi" w:hAnsiTheme="majorHAnsi" w:cstheme="majorHAnsi"/>
          <w:szCs w:val="22"/>
          <w:lang w:val="es-ES_tradnl"/>
        </w:rPr>
        <w:t>Mediante esta ley se busca aumentar la eficacia y competitividad del sector agroalimentario, reducir los desequilibrios en las relaciones comerciales entre los diferentes operadores de la cadena de valor, y lograr un marco de competencia justa que redunde en beneficio no sólo de los operadores del sector, sino también de los consumidores.</w:t>
      </w:r>
    </w:p>
    <w:p w14:paraId="58A7512F" w14:textId="77777777" w:rsidR="00A567AC" w:rsidRPr="00F3311F" w:rsidRDefault="00A567AC" w:rsidP="00D4710E">
      <w:pPr>
        <w:pStyle w:val="NormalWeb"/>
        <w:spacing w:after="200" w:afterAutospacing="0" w:line="276" w:lineRule="auto"/>
        <w:rPr>
          <w:rFonts w:asciiTheme="majorHAnsi" w:hAnsiTheme="majorHAnsi" w:cstheme="majorHAnsi"/>
          <w:szCs w:val="22"/>
          <w:lang w:val="es-ES_tradnl"/>
        </w:rPr>
      </w:pPr>
      <w:r w:rsidRPr="00F3311F">
        <w:rPr>
          <w:rFonts w:asciiTheme="majorHAnsi" w:hAnsiTheme="majorHAnsi" w:cstheme="majorHAnsi"/>
          <w:szCs w:val="22"/>
          <w:lang w:val="es-ES_tradnl"/>
        </w:rPr>
        <w:t xml:space="preserve">La ley se fundamenta en un modelo mixto, en el que coexisten un </w:t>
      </w:r>
      <w:r w:rsidRPr="00F3311F">
        <w:rPr>
          <w:rFonts w:asciiTheme="majorHAnsi" w:hAnsiTheme="majorHAnsi" w:cstheme="majorHAnsi"/>
          <w:b/>
          <w:szCs w:val="22"/>
          <w:lang w:val="es-ES_tradnl"/>
        </w:rPr>
        <w:t>sistema público</w:t>
      </w:r>
      <w:r w:rsidRPr="00F3311F">
        <w:rPr>
          <w:rFonts w:asciiTheme="majorHAnsi" w:hAnsiTheme="majorHAnsi" w:cstheme="majorHAnsi"/>
          <w:szCs w:val="22"/>
          <w:lang w:val="es-ES_tradnl"/>
        </w:rPr>
        <w:t xml:space="preserve">, que regula las relaciones comerciales, junto a un </w:t>
      </w:r>
      <w:r w:rsidRPr="00F3311F">
        <w:rPr>
          <w:rFonts w:asciiTheme="majorHAnsi" w:hAnsiTheme="majorHAnsi" w:cstheme="majorHAnsi"/>
          <w:b/>
          <w:szCs w:val="22"/>
          <w:lang w:val="es-ES_tradnl"/>
        </w:rPr>
        <w:t>sistema de autorregulación</w:t>
      </w:r>
      <w:r w:rsidRPr="00F3311F">
        <w:rPr>
          <w:rFonts w:asciiTheme="majorHAnsi" w:hAnsiTheme="majorHAnsi" w:cstheme="majorHAnsi"/>
          <w:szCs w:val="22"/>
          <w:lang w:val="es-ES_tradnl"/>
        </w:rPr>
        <w:t xml:space="preserve">, que establece el marco para unas relaciones comerciales de mayor calidad, complementados con un </w:t>
      </w:r>
      <w:r w:rsidRPr="00F3311F">
        <w:rPr>
          <w:rFonts w:asciiTheme="majorHAnsi" w:hAnsiTheme="majorHAnsi" w:cstheme="majorHAnsi"/>
          <w:b/>
          <w:szCs w:val="22"/>
          <w:lang w:val="es-ES_tradnl"/>
        </w:rPr>
        <w:t>sistema de seguimiento y vigilancia</w:t>
      </w:r>
      <w:r w:rsidRPr="00F3311F">
        <w:rPr>
          <w:rFonts w:asciiTheme="majorHAnsi" w:hAnsiTheme="majorHAnsi" w:cstheme="majorHAnsi"/>
          <w:szCs w:val="22"/>
          <w:lang w:val="es-ES_tradnl"/>
        </w:rPr>
        <w:t>, que nos permitirá identificar los problemas existentes y conocer cómo evoluciona la calidad de las relaciones comerciales.</w:t>
      </w:r>
    </w:p>
    <w:p w14:paraId="0D28F449" w14:textId="77777777" w:rsidR="00FB6A35" w:rsidRDefault="00D80CC7" w:rsidP="000033C1">
      <w:pPr>
        <w:pStyle w:val="Ttulo2"/>
        <w:widowControl/>
        <w:numPr>
          <w:ilvl w:val="2"/>
          <w:numId w:val="4"/>
        </w:numPr>
        <w:spacing w:before="40" w:line="276" w:lineRule="auto"/>
        <w:ind w:left="1843"/>
        <w:rPr>
          <w:rFonts w:asciiTheme="majorHAnsi" w:eastAsiaTheme="minorHAnsi" w:hAnsiTheme="majorHAnsi" w:cstheme="majorHAnsi"/>
          <w:b w:val="0"/>
          <w:szCs w:val="22"/>
          <w:lang w:val="es-ES" w:eastAsia="en-US"/>
        </w:rPr>
      </w:pPr>
      <w:bookmarkStart w:id="70" w:name="_Toc14695494"/>
      <w:r w:rsidRPr="00FB6A35">
        <w:rPr>
          <w:rFonts w:asciiTheme="majorHAnsi" w:hAnsiTheme="majorHAnsi" w:cstheme="majorHAnsi"/>
          <w:sz w:val="28"/>
          <w:szCs w:val="28"/>
        </w:rPr>
        <w:t>Instrumentos organizativos:</w:t>
      </w:r>
    </w:p>
    <w:bookmarkEnd w:id="70"/>
    <w:p w14:paraId="15D433FA" w14:textId="0E14CDE0" w:rsidR="00591B3C" w:rsidRPr="00C21C1A" w:rsidRDefault="00591B3C" w:rsidP="00591B3C">
      <w:pPr>
        <w:pStyle w:val="Prrafodelista"/>
        <w:numPr>
          <w:ilvl w:val="0"/>
          <w:numId w:val="18"/>
        </w:numPr>
        <w:spacing w:after="240" w:line="276" w:lineRule="auto"/>
        <w:jc w:val="both"/>
        <w:rPr>
          <w:rFonts w:asciiTheme="majorHAnsi" w:hAnsiTheme="majorHAnsi" w:cstheme="majorHAnsi"/>
          <w:sz w:val="24"/>
        </w:rPr>
      </w:pPr>
      <w:r w:rsidRPr="00C21C1A">
        <w:rPr>
          <w:rFonts w:asciiTheme="majorHAnsi" w:hAnsiTheme="majorHAnsi" w:cstheme="majorHAnsi"/>
          <w:sz w:val="24"/>
        </w:rPr>
        <w:t xml:space="preserve">Fomento de reconocimiento de </w:t>
      </w:r>
      <w:proofErr w:type="spellStart"/>
      <w:r w:rsidRPr="00C21C1A">
        <w:rPr>
          <w:rFonts w:asciiTheme="majorHAnsi" w:hAnsiTheme="majorHAnsi" w:cstheme="majorHAnsi"/>
          <w:sz w:val="24"/>
        </w:rPr>
        <w:t>OPs</w:t>
      </w:r>
      <w:proofErr w:type="spellEnd"/>
      <w:r w:rsidRPr="00C21C1A">
        <w:rPr>
          <w:rFonts w:asciiTheme="majorHAnsi" w:hAnsiTheme="majorHAnsi" w:cstheme="majorHAnsi"/>
          <w:sz w:val="24"/>
        </w:rPr>
        <w:t xml:space="preserve"> en nuevos sectores</w:t>
      </w:r>
    </w:p>
    <w:p w14:paraId="08DAC6F5" w14:textId="77777777" w:rsidR="00591B3C" w:rsidRPr="00C21C1A" w:rsidRDefault="00591B3C" w:rsidP="00591B3C">
      <w:pPr>
        <w:spacing w:after="240" w:line="276" w:lineRule="auto"/>
        <w:jc w:val="both"/>
        <w:rPr>
          <w:rFonts w:asciiTheme="majorHAnsi" w:hAnsiTheme="majorHAnsi" w:cstheme="majorHAnsi"/>
          <w:sz w:val="24"/>
          <w:szCs w:val="22"/>
          <w:lang w:val="es-ES"/>
        </w:rPr>
      </w:pPr>
      <w:r w:rsidRPr="00C21C1A">
        <w:rPr>
          <w:rFonts w:asciiTheme="majorHAnsi" w:hAnsiTheme="majorHAnsi" w:cstheme="majorHAnsi"/>
          <w:sz w:val="24"/>
          <w:szCs w:val="22"/>
          <w:lang w:val="es-ES"/>
        </w:rPr>
        <w:t>La propuesta de Reforma de la PAC para el horizonte más allá del 2020, vuelve a reconocer el papel fundamental de las organizaciones y asociaciones de organizaciones de productores y las incluye como estructuras clave para desarrollar una serie de programas operativos que contribuyan a los objetivos de la PAC en el marco de las posibles intervenciones sectoriales que los estados miembros pueden decidir incluir en sus Planes Estratégicos.</w:t>
      </w:r>
    </w:p>
    <w:p w14:paraId="4C0F53E9" w14:textId="77777777" w:rsidR="00591B3C" w:rsidRPr="00C21C1A" w:rsidRDefault="00591B3C" w:rsidP="00591B3C">
      <w:pPr>
        <w:spacing w:after="240" w:line="276" w:lineRule="auto"/>
        <w:jc w:val="both"/>
        <w:rPr>
          <w:rFonts w:asciiTheme="majorHAnsi" w:hAnsiTheme="majorHAnsi" w:cstheme="majorHAnsi"/>
          <w:sz w:val="24"/>
          <w:szCs w:val="22"/>
          <w:lang w:val="es-ES"/>
        </w:rPr>
      </w:pPr>
      <w:r w:rsidRPr="00C21C1A">
        <w:rPr>
          <w:rFonts w:asciiTheme="majorHAnsi" w:hAnsiTheme="majorHAnsi" w:cstheme="majorHAnsi"/>
          <w:sz w:val="24"/>
          <w:szCs w:val="22"/>
          <w:lang w:val="es-ES"/>
        </w:rPr>
        <w:t xml:space="preserve">No obstante, a la vista de la heterogeneidad de los sectores, su diferente estructura o nivel de cooperación sectorial y sus diferentes retos y necesidades, en algunos de ellos las organizaciones de productores podrían no ser la figura más idónea para alcanzar los objetivos perseguidos o incluso ser entidades que no tendrían razón de ser en aquellos sectores donde la cooperación sectorial está muy avanzada y por tanto habría que explorar su atención por otras vías, más allá de los posibles programas operativos. </w:t>
      </w:r>
    </w:p>
    <w:p w14:paraId="0312E040" w14:textId="77777777" w:rsidR="00591B3C" w:rsidRDefault="00591B3C" w:rsidP="00591B3C">
      <w:pPr>
        <w:spacing w:after="240" w:line="276" w:lineRule="auto"/>
        <w:jc w:val="both"/>
        <w:rPr>
          <w:rFonts w:asciiTheme="majorHAnsi" w:hAnsiTheme="majorHAnsi" w:cstheme="majorHAnsi"/>
          <w:sz w:val="24"/>
          <w:szCs w:val="22"/>
          <w:lang w:val="es-ES"/>
        </w:rPr>
      </w:pPr>
      <w:r w:rsidRPr="00C21C1A">
        <w:rPr>
          <w:rFonts w:asciiTheme="majorHAnsi" w:hAnsiTheme="majorHAnsi" w:cstheme="majorHAnsi"/>
          <w:sz w:val="24"/>
          <w:szCs w:val="22"/>
          <w:lang w:val="es-ES"/>
        </w:rPr>
        <w:t xml:space="preserve">En estos momentos, hay un proyecto  de norma de carácter horizontal que de momento incluye las condiciones para el reconocimiento de estas organizaciones en los sectores vacuno, ovino y caprino y a la que se podrían incorporar el resto de sectores según existe interés, oportunidad y necesidad. </w:t>
      </w:r>
    </w:p>
    <w:p w14:paraId="7B87F645" w14:textId="2D4E2D92" w:rsidR="00591B3C" w:rsidRPr="00C21C1A" w:rsidRDefault="00C21C1A" w:rsidP="00C21C1A">
      <w:pPr>
        <w:spacing w:after="240" w:line="276" w:lineRule="auto"/>
        <w:jc w:val="both"/>
        <w:rPr>
          <w:rFonts w:asciiTheme="majorHAnsi" w:hAnsiTheme="majorHAnsi" w:cstheme="majorHAnsi"/>
          <w:sz w:val="24"/>
        </w:rPr>
      </w:pPr>
      <w:r>
        <w:rPr>
          <w:rFonts w:asciiTheme="majorHAnsi" w:hAnsiTheme="majorHAnsi" w:cstheme="majorHAnsi"/>
          <w:sz w:val="24"/>
          <w:szCs w:val="22"/>
          <w:lang w:val="es-ES"/>
        </w:rPr>
        <w:t xml:space="preserve">Existen </w:t>
      </w:r>
      <w:r w:rsidR="00591B3C" w:rsidRPr="00C21C1A">
        <w:rPr>
          <w:rFonts w:asciiTheme="majorHAnsi" w:hAnsiTheme="majorHAnsi" w:cstheme="majorHAnsi"/>
          <w:sz w:val="24"/>
        </w:rPr>
        <w:t xml:space="preserve">Ayudas a la constitución de </w:t>
      </w:r>
      <w:proofErr w:type="spellStart"/>
      <w:r w:rsidR="00591B3C" w:rsidRPr="00C21C1A">
        <w:rPr>
          <w:rFonts w:asciiTheme="majorHAnsi" w:hAnsiTheme="majorHAnsi" w:cstheme="majorHAnsi"/>
          <w:sz w:val="24"/>
        </w:rPr>
        <w:t>OPs</w:t>
      </w:r>
      <w:proofErr w:type="spellEnd"/>
      <w:r w:rsidR="00591B3C" w:rsidRPr="00C21C1A">
        <w:rPr>
          <w:rFonts w:asciiTheme="majorHAnsi" w:hAnsiTheme="majorHAnsi" w:cstheme="majorHAnsi"/>
          <w:sz w:val="24"/>
        </w:rPr>
        <w:t xml:space="preserve">  en el marco del FEADER</w:t>
      </w:r>
      <w:r w:rsidR="00A53C08">
        <w:rPr>
          <w:rFonts w:asciiTheme="majorHAnsi" w:hAnsiTheme="majorHAnsi" w:cstheme="majorHAnsi"/>
          <w:sz w:val="24"/>
        </w:rPr>
        <w:t>.</w:t>
      </w:r>
    </w:p>
    <w:p w14:paraId="20DBEBB9" w14:textId="77777777" w:rsidR="00743886" w:rsidRPr="00424CB5" w:rsidRDefault="00743886" w:rsidP="00424CB5">
      <w:pPr>
        <w:rPr>
          <w:rFonts w:eastAsiaTheme="minorHAnsi"/>
          <w:lang w:val="es-ES" w:eastAsia="en-US"/>
        </w:rPr>
      </w:pPr>
    </w:p>
    <w:p w14:paraId="1BBD2A04" w14:textId="00FBB10A" w:rsidR="00D80CC7" w:rsidRPr="00F3311F" w:rsidRDefault="00D80CC7" w:rsidP="00D4710E">
      <w:pPr>
        <w:pStyle w:val="Ttulo2"/>
        <w:keepLines/>
        <w:widowControl/>
        <w:spacing w:before="40" w:after="240" w:line="276" w:lineRule="auto"/>
        <w:rPr>
          <w:rFonts w:asciiTheme="majorHAnsi" w:hAnsiTheme="majorHAnsi" w:cstheme="majorHAnsi"/>
          <w:b w:val="0"/>
          <w:color w:val="FF0000"/>
          <w:szCs w:val="22"/>
        </w:rPr>
      </w:pPr>
      <w:bookmarkStart w:id="71" w:name="_Toc14695496"/>
      <w:r w:rsidRPr="00F3311F">
        <w:rPr>
          <w:rFonts w:asciiTheme="majorHAnsi" w:eastAsiaTheme="minorHAnsi" w:hAnsiTheme="majorHAnsi" w:cstheme="majorHAnsi"/>
          <w:b w:val="0"/>
          <w:szCs w:val="22"/>
          <w:lang w:val="es-ES" w:eastAsia="en-US"/>
        </w:rPr>
        <w:lastRenderedPageBreak/>
        <w:t xml:space="preserve">- </w:t>
      </w:r>
      <w:r w:rsidR="00FD6B83" w:rsidRPr="00F3311F">
        <w:rPr>
          <w:rFonts w:asciiTheme="majorHAnsi" w:eastAsiaTheme="minorHAnsi" w:hAnsiTheme="majorHAnsi" w:cstheme="majorHAnsi"/>
          <w:b w:val="0"/>
          <w:szCs w:val="22"/>
          <w:lang w:val="es-ES" w:eastAsia="en-US"/>
        </w:rPr>
        <w:t xml:space="preserve">Fortalecimiento de </w:t>
      </w:r>
      <w:r w:rsidR="00DB4793" w:rsidRPr="00F3311F">
        <w:rPr>
          <w:rFonts w:asciiTheme="majorHAnsi" w:eastAsiaTheme="minorHAnsi" w:hAnsiTheme="majorHAnsi" w:cstheme="majorHAnsi"/>
          <w:b w:val="0"/>
          <w:szCs w:val="22"/>
          <w:lang w:val="es-ES" w:eastAsia="en-US"/>
        </w:rPr>
        <w:t xml:space="preserve">asociaciones </w:t>
      </w:r>
      <w:r w:rsidRPr="00F3311F">
        <w:rPr>
          <w:rFonts w:asciiTheme="majorHAnsi" w:eastAsiaTheme="minorHAnsi" w:hAnsiTheme="majorHAnsi" w:cstheme="majorHAnsi"/>
          <w:b w:val="0"/>
          <w:szCs w:val="22"/>
          <w:lang w:val="es-ES" w:eastAsia="en-US"/>
        </w:rPr>
        <w:t>verticales y horizontales:</w:t>
      </w:r>
      <w:r w:rsidRPr="00F3311F">
        <w:rPr>
          <w:rFonts w:asciiTheme="majorHAnsi" w:hAnsiTheme="majorHAnsi" w:cstheme="majorHAnsi"/>
          <w:szCs w:val="22"/>
        </w:rPr>
        <w:t xml:space="preserve"> </w:t>
      </w:r>
      <w:r w:rsidRPr="00F3311F">
        <w:rPr>
          <w:rFonts w:asciiTheme="majorHAnsi" w:eastAsiaTheme="minorHAnsi" w:hAnsiTheme="majorHAnsi" w:cstheme="majorHAnsi"/>
          <w:b w:val="0"/>
          <w:szCs w:val="22"/>
          <w:lang w:val="es-ES" w:eastAsia="en-US"/>
        </w:rPr>
        <w:t>Interprofesionales,  Cooperativas/</w:t>
      </w:r>
      <w:proofErr w:type="spellStart"/>
      <w:r w:rsidRPr="00F3311F">
        <w:rPr>
          <w:rFonts w:asciiTheme="majorHAnsi" w:eastAsiaTheme="minorHAnsi" w:hAnsiTheme="majorHAnsi" w:cstheme="majorHAnsi"/>
          <w:b w:val="0"/>
          <w:szCs w:val="22"/>
          <w:lang w:val="es-ES" w:eastAsia="en-US"/>
        </w:rPr>
        <w:t>EAPs</w:t>
      </w:r>
      <w:proofErr w:type="spellEnd"/>
      <w:r w:rsidRPr="00F3311F">
        <w:rPr>
          <w:rFonts w:asciiTheme="majorHAnsi" w:eastAsiaTheme="minorHAnsi" w:hAnsiTheme="majorHAnsi" w:cstheme="majorHAnsi"/>
          <w:b w:val="0"/>
          <w:szCs w:val="22"/>
          <w:lang w:val="es-ES" w:eastAsia="en-US"/>
        </w:rPr>
        <w:t xml:space="preserve">, </w:t>
      </w:r>
      <w:proofErr w:type="spellStart"/>
      <w:r w:rsidRPr="00F3311F">
        <w:rPr>
          <w:rFonts w:asciiTheme="majorHAnsi" w:eastAsiaTheme="minorHAnsi" w:hAnsiTheme="majorHAnsi" w:cstheme="majorHAnsi"/>
          <w:b w:val="0"/>
          <w:szCs w:val="22"/>
          <w:lang w:val="es-ES" w:eastAsia="en-US"/>
        </w:rPr>
        <w:t>OPs</w:t>
      </w:r>
      <w:bookmarkEnd w:id="71"/>
      <w:proofErr w:type="spellEnd"/>
      <w:r w:rsidRPr="00F3311F">
        <w:rPr>
          <w:rFonts w:asciiTheme="majorHAnsi" w:eastAsiaTheme="minorHAnsi" w:hAnsiTheme="majorHAnsi" w:cstheme="majorHAnsi"/>
          <w:b w:val="0"/>
          <w:szCs w:val="22"/>
          <w:lang w:val="es-ES" w:eastAsia="en-US"/>
        </w:rPr>
        <w:t xml:space="preserve"> </w:t>
      </w:r>
    </w:p>
    <w:p w14:paraId="27307C92" w14:textId="77777777" w:rsidR="006132E6" w:rsidRPr="000F281B" w:rsidRDefault="006132E6"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Las cooperativas, tanto las formadas por personas físicas o jurídicas (de primer grado) como las formadas por otras cooperativas (segundo o ulterior grado) permiten a los pequeños agricultores aumentar su capacidad de negociación, innovación y competitividad. Se erigen como uno de los pilares básicos sobre los que se sustenta el desarrollo agrícola, dinamizando la economía en el medio rural y ayudando a superar las barreras impuestas por los mercados y otras limitaciones, ya que se basan en el fortalecimiento de la cooperación entre los agricultores.</w:t>
      </w:r>
    </w:p>
    <w:p w14:paraId="0A27B7F9" w14:textId="77777777" w:rsidR="006132E6" w:rsidRPr="000F281B" w:rsidRDefault="006132E6"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 xml:space="preserve">La Ley 13/2013, de 2 de agosto, de fomento de la integración de cooperativas y de otras entidades asociativas de carácter agroalimentario, surge con el claro propósito de favorecer la competitividad, modernización e internacionalización del sector agroalimentario español, a través del fortalecimiento de las estructuras asociativas y el incremento de su dimensión, facilitando el desarrollo de la innovación y la incorporación de nuevas tecnologías, aumentando su productividad y eficiencia y mejorando su capacidad para competir más eficazmente en los mercados. </w:t>
      </w:r>
    </w:p>
    <w:p w14:paraId="30C97126" w14:textId="77777777" w:rsidR="006132E6" w:rsidRPr="000F281B" w:rsidRDefault="006132E6" w:rsidP="00D4710E">
      <w:pPr>
        <w:spacing w:line="276" w:lineRule="auto"/>
        <w:jc w:val="both"/>
        <w:rPr>
          <w:rFonts w:asciiTheme="majorHAnsi" w:eastAsiaTheme="minorHAnsi" w:hAnsiTheme="majorHAnsi" w:cstheme="majorHAnsi"/>
          <w:sz w:val="24"/>
          <w:lang w:val="es-ES"/>
        </w:rPr>
      </w:pPr>
    </w:p>
    <w:p w14:paraId="3B06804B" w14:textId="77777777" w:rsidR="006132E6" w:rsidRPr="000F281B" w:rsidRDefault="006132E6"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 xml:space="preserve">El principal instrumento de desarrollo y aplicación de la Ley 13/2013 es el Real Decreto 550/2014, de 27 de junio, por el que se desarrollan los requisitos y el procedimiento para el reconocimiento de las Entidades Asociativas Prioritarias (EAP, en adelante). Este reconocimiento se otorga a entidades asociativas de carácter agroalimentario de ámbito </w:t>
      </w:r>
      <w:proofErr w:type="spellStart"/>
      <w:r w:rsidRPr="000F281B">
        <w:rPr>
          <w:rFonts w:asciiTheme="majorHAnsi" w:eastAsiaTheme="minorHAnsi" w:hAnsiTheme="majorHAnsi" w:cstheme="majorHAnsi"/>
          <w:sz w:val="24"/>
          <w:lang w:val="es-ES"/>
        </w:rPr>
        <w:t>supraautonómico</w:t>
      </w:r>
      <w:proofErr w:type="spellEnd"/>
      <w:r w:rsidRPr="000F281B">
        <w:rPr>
          <w:rFonts w:asciiTheme="majorHAnsi" w:eastAsiaTheme="minorHAnsi" w:hAnsiTheme="majorHAnsi" w:cstheme="majorHAnsi"/>
          <w:sz w:val="24"/>
          <w:lang w:val="es-ES"/>
        </w:rPr>
        <w:t>, con capacidad y dimensión suficiente para conseguir los objetivos señalados, consiguiéndose, asimismo, un mejor equilibrio en la cadena alimentaria, lo que acaba redundando de manera positiva en el consumidor final y en la renta de los agricultores integrados en estas estructuras.</w:t>
      </w:r>
    </w:p>
    <w:p w14:paraId="03748DA6" w14:textId="77777777" w:rsidR="006132E6" w:rsidRPr="000F281B" w:rsidRDefault="006132E6" w:rsidP="00D4710E">
      <w:pPr>
        <w:spacing w:line="276" w:lineRule="auto"/>
        <w:jc w:val="both"/>
        <w:rPr>
          <w:rFonts w:asciiTheme="majorHAnsi" w:eastAsiaTheme="minorHAnsi" w:hAnsiTheme="majorHAnsi" w:cstheme="majorHAnsi"/>
          <w:sz w:val="24"/>
          <w:lang w:val="es-ES"/>
        </w:rPr>
      </w:pPr>
    </w:p>
    <w:p w14:paraId="296AC8F6" w14:textId="77777777" w:rsidR="006132E6" w:rsidRPr="000F281B" w:rsidRDefault="006132E6"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Con esta norma se pretende impulsar un modelo cooperativo empresarial, profesionalizado, generador de valor y empleo, con dimensión relevante. En concreto:</w:t>
      </w:r>
    </w:p>
    <w:p w14:paraId="00AC4CEE" w14:textId="283F668E" w:rsidR="006132E6" w:rsidRPr="000F281B" w:rsidRDefault="006132E6" w:rsidP="00095EBA">
      <w:pPr>
        <w:pStyle w:val="Prrafodelista"/>
        <w:numPr>
          <w:ilvl w:val="1"/>
          <w:numId w:val="17"/>
        </w:numPr>
        <w:spacing w:line="276" w:lineRule="auto"/>
        <w:ind w:left="567" w:hanging="283"/>
        <w:jc w:val="both"/>
        <w:rPr>
          <w:rFonts w:asciiTheme="majorHAnsi" w:hAnsiTheme="majorHAnsi" w:cstheme="majorHAnsi"/>
          <w:sz w:val="24"/>
        </w:rPr>
      </w:pPr>
      <w:r w:rsidRPr="000F281B">
        <w:rPr>
          <w:rFonts w:asciiTheme="majorHAnsi" w:hAnsiTheme="majorHAnsi" w:cstheme="majorHAnsi"/>
          <w:sz w:val="24"/>
        </w:rPr>
        <w:t>Contribuir a la mejora de la renta de los productores integrados.</w:t>
      </w:r>
    </w:p>
    <w:p w14:paraId="6D0FE57B" w14:textId="67ED6C14" w:rsidR="006132E6" w:rsidRPr="000F281B" w:rsidRDefault="006132E6" w:rsidP="00095EBA">
      <w:pPr>
        <w:pStyle w:val="Prrafodelista"/>
        <w:numPr>
          <w:ilvl w:val="1"/>
          <w:numId w:val="17"/>
        </w:numPr>
        <w:spacing w:line="276" w:lineRule="auto"/>
        <w:ind w:left="567" w:hanging="283"/>
        <w:jc w:val="both"/>
        <w:rPr>
          <w:rFonts w:asciiTheme="majorHAnsi" w:hAnsiTheme="majorHAnsi" w:cstheme="majorHAnsi"/>
          <w:sz w:val="24"/>
        </w:rPr>
      </w:pPr>
      <w:r w:rsidRPr="000F281B">
        <w:rPr>
          <w:rFonts w:asciiTheme="majorHAnsi" w:hAnsiTheme="majorHAnsi" w:cstheme="majorHAnsi"/>
          <w:sz w:val="24"/>
        </w:rPr>
        <w:t>Mejorar la estructura de la oferta: Mediante el fomento de la agrupación de los primeros eslabones de la cadena, mediante fusiones o integraciones de entidades asociativas, y mediante el redimensionamiento. Con este fin, se favorece la integración de los productores en EAP.</w:t>
      </w:r>
    </w:p>
    <w:p w14:paraId="15E3812B" w14:textId="00842445" w:rsidR="006132E6" w:rsidRPr="000F281B" w:rsidRDefault="006132E6" w:rsidP="00095EBA">
      <w:pPr>
        <w:pStyle w:val="Prrafodelista"/>
        <w:numPr>
          <w:ilvl w:val="1"/>
          <w:numId w:val="17"/>
        </w:numPr>
        <w:spacing w:line="276" w:lineRule="auto"/>
        <w:ind w:left="567" w:hanging="283"/>
        <w:jc w:val="both"/>
        <w:rPr>
          <w:rFonts w:asciiTheme="majorHAnsi" w:hAnsiTheme="majorHAnsi" w:cstheme="majorHAnsi"/>
          <w:sz w:val="24"/>
        </w:rPr>
      </w:pPr>
      <w:r w:rsidRPr="000F281B">
        <w:rPr>
          <w:rFonts w:asciiTheme="majorHAnsi" w:hAnsiTheme="majorHAnsi" w:cstheme="majorHAnsi"/>
          <w:sz w:val="24"/>
        </w:rPr>
        <w:t>Competitividad, mediante la mejora la capacitación y formación de los productores y responsables de la gobernanza y gestión. Asimismo, a este fin contribuye el fomento de la modernización e internacionalización del sector cooperativo.</w:t>
      </w:r>
    </w:p>
    <w:p w14:paraId="53DF19C6" w14:textId="77777777" w:rsidR="006132E6" w:rsidRPr="000F281B" w:rsidRDefault="006132E6" w:rsidP="00D4710E">
      <w:pPr>
        <w:spacing w:line="276" w:lineRule="auto"/>
        <w:jc w:val="both"/>
        <w:rPr>
          <w:rFonts w:asciiTheme="majorHAnsi" w:eastAsiaTheme="minorHAnsi" w:hAnsiTheme="majorHAnsi" w:cstheme="majorHAnsi"/>
          <w:sz w:val="24"/>
          <w:lang w:val="es-ES"/>
        </w:rPr>
      </w:pPr>
    </w:p>
    <w:p w14:paraId="0232E88E" w14:textId="30ECA1E3" w:rsidR="006132E6" w:rsidRPr="000F281B" w:rsidRDefault="006132E6"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lastRenderedPageBreak/>
        <w:t>El reconocimiento como EAP permite acceder, en situaciones de preferencia, a determinados regímenes de ayudas tanto a las propias EAP, como a sus socios y entidades de base.</w:t>
      </w:r>
    </w:p>
    <w:p w14:paraId="0634B1EE" w14:textId="621178F8" w:rsidR="00203B08" w:rsidRPr="000F281B" w:rsidRDefault="00203B08"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En el sector de frutas y hortalizas la legislación de la UE establece la necesidad del fortalecimiento de la colaboración entre productores para poder acceder al régimen de ayudas específico de este sector que se instrumentaliza a través de los programas operativos, por lo que los agricultores deben formar parte de una organización de productores con un número mínimo de miembros y de producción comercializada para tener acceso a las ayudas de la UE. La actividad principal de una organización de productores consiste en la concentración de la oferta y la puesta en el mercado de los productos de sus miembros fomentan</w:t>
      </w:r>
      <w:r w:rsidR="00D8721B" w:rsidRPr="000F281B">
        <w:rPr>
          <w:rFonts w:asciiTheme="majorHAnsi" w:eastAsiaTheme="minorHAnsi" w:hAnsiTheme="majorHAnsi" w:cstheme="majorHAnsi"/>
          <w:sz w:val="24"/>
          <w:lang w:val="es-ES"/>
        </w:rPr>
        <w:t>d</w:t>
      </w:r>
      <w:r w:rsidRPr="000F281B">
        <w:rPr>
          <w:rFonts w:asciiTheme="majorHAnsi" w:eastAsiaTheme="minorHAnsi" w:hAnsiTheme="majorHAnsi" w:cstheme="majorHAnsi"/>
          <w:sz w:val="24"/>
          <w:lang w:val="es-ES"/>
        </w:rPr>
        <w:t xml:space="preserve">o así </w:t>
      </w:r>
      <w:r w:rsidR="003B29AB" w:rsidRPr="000F281B">
        <w:rPr>
          <w:rFonts w:asciiTheme="majorHAnsi" w:eastAsiaTheme="minorHAnsi" w:hAnsiTheme="majorHAnsi" w:cstheme="majorHAnsi"/>
          <w:sz w:val="24"/>
          <w:lang w:val="es-ES"/>
        </w:rPr>
        <w:t>la organización de este sector.</w:t>
      </w:r>
    </w:p>
    <w:p w14:paraId="2E9AABD6" w14:textId="77777777" w:rsidR="00203B08" w:rsidRPr="000F281B" w:rsidRDefault="00203B08" w:rsidP="00D4710E">
      <w:pPr>
        <w:spacing w:line="276" w:lineRule="auto"/>
        <w:jc w:val="both"/>
        <w:rPr>
          <w:rFonts w:asciiTheme="majorHAnsi" w:eastAsiaTheme="minorHAnsi" w:hAnsiTheme="majorHAnsi" w:cstheme="majorHAnsi"/>
          <w:sz w:val="24"/>
          <w:lang w:val="es-ES"/>
        </w:rPr>
      </w:pPr>
      <w:r w:rsidRPr="000F281B">
        <w:rPr>
          <w:rFonts w:asciiTheme="majorHAnsi" w:eastAsiaTheme="minorHAnsi" w:hAnsiTheme="majorHAnsi" w:cstheme="majorHAnsi"/>
          <w:sz w:val="24"/>
          <w:lang w:val="es-ES"/>
        </w:rPr>
        <w:t>Asimismo, por el hecho de pertenecer a una organización de productores de frutas y hortalizas, los agricultores de este sector tienen  un tratamiento diferenciado en determinadas subvenciones como puede ser  las destinadas a la obtención de avales de la Sociedad Anónima Estatal de Caución Agraria (SAECA), por titulares de explotaciones agrarias con actividad en determinados cultivos cítricos, que garanticen préstamos para financiar sus explotaciones u otras líneas.</w:t>
      </w:r>
    </w:p>
    <w:p w14:paraId="7A0E3829" w14:textId="77777777" w:rsidR="00297BDF" w:rsidRDefault="00297BDF" w:rsidP="00D4710E">
      <w:pPr>
        <w:spacing w:line="276" w:lineRule="auto"/>
        <w:jc w:val="both"/>
        <w:rPr>
          <w:rFonts w:asciiTheme="majorHAnsi" w:eastAsiaTheme="minorHAnsi" w:hAnsiTheme="majorHAnsi" w:cstheme="majorHAnsi"/>
          <w:sz w:val="22"/>
          <w:lang w:val="es-ES"/>
        </w:rPr>
      </w:pPr>
    </w:p>
    <w:p w14:paraId="43019752" w14:textId="2560D1BF" w:rsidR="00D80CC7" w:rsidRPr="001A19E6" w:rsidRDefault="00BC1AD2" w:rsidP="000033C1">
      <w:pPr>
        <w:pStyle w:val="Ttulo2"/>
        <w:widowControl/>
        <w:numPr>
          <w:ilvl w:val="2"/>
          <w:numId w:val="4"/>
        </w:numPr>
        <w:spacing w:before="40" w:line="276" w:lineRule="auto"/>
        <w:ind w:left="1843"/>
        <w:rPr>
          <w:rFonts w:asciiTheme="majorHAnsi" w:hAnsiTheme="majorHAnsi" w:cstheme="majorHAnsi"/>
          <w:color w:val="FF0000"/>
          <w:sz w:val="20"/>
          <w:szCs w:val="18"/>
        </w:rPr>
      </w:pPr>
      <w:bookmarkStart w:id="72" w:name="_Toc14695497"/>
      <w:r w:rsidRPr="001A19E6">
        <w:rPr>
          <w:rFonts w:asciiTheme="majorHAnsi" w:hAnsiTheme="majorHAnsi" w:cstheme="majorHAnsi"/>
          <w:sz w:val="28"/>
        </w:rPr>
        <w:t>I</w:t>
      </w:r>
      <w:r w:rsidR="00D80CC7" w:rsidRPr="001A19E6">
        <w:rPr>
          <w:rFonts w:asciiTheme="majorHAnsi" w:hAnsiTheme="majorHAnsi" w:cstheme="majorHAnsi"/>
          <w:sz w:val="28"/>
        </w:rPr>
        <w:t>nstrumentos de información y transparencia</w:t>
      </w:r>
      <w:bookmarkEnd w:id="72"/>
      <w:r w:rsidR="00D80CC7" w:rsidRPr="001A19E6">
        <w:rPr>
          <w:rFonts w:asciiTheme="majorHAnsi" w:hAnsiTheme="majorHAnsi" w:cstheme="majorHAnsi"/>
          <w:sz w:val="20"/>
          <w:szCs w:val="18"/>
        </w:rPr>
        <w:t xml:space="preserve"> </w:t>
      </w:r>
    </w:p>
    <w:p w14:paraId="1F51DD33" w14:textId="77777777" w:rsidR="00BC1AD2" w:rsidRPr="00F3311F" w:rsidRDefault="00BC1AD2" w:rsidP="00D4710E">
      <w:pPr>
        <w:spacing w:line="276" w:lineRule="auto"/>
        <w:jc w:val="both"/>
        <w:rPr>
          <w:rFonts w:asciiTheme="majorHAnsi" w:hAnsiTheme="majorHAnsi" w:cstheme="majorHAnsi"/>
          <w:sz w:val="22"/>
        </w:rPr>
      </w:pPr>
    </w:p>
    <w:p w14:paraId="2F1703A6" w14:textId="77777777" w:rsidR="00D80CC7" w:rsidRPr="00F3311F" w:rsidRDefault="00D80CC7"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2"/>
          <w:lang w:val="es-ES" w:eastAsia="en-US"/>
        </w:rPr>
        <w:tab/>
      </w:r>
      <w:r w:rsidRPr="00F3311F">
        <w:rPr>
          <w:rFonts w:asciiTheme="majorHAnsi" w:eastAsiaTheme="minorHAnsi" w:hAnsiTheme="majorHAnsi" w:cstheme="majorHAnsi"/>
          <w:sz w:val="24"/>
          <w:lang w:val="es-ES" w:eastAsia="en-US"/>
        </w:rPr>
        <w:t xml:space="preserve">- </w:t>
      </w:r>
      <w:r w:rsidRPr="00F3311F">
        <w:rPr>
          <w:rFonts w:asciiTheme="majorHAnsi" w:eastAsiaTheme="minorHAnsi" w:hAnsiTheme="majorHAnsi" w:cstheme="majorHAnsi"/>
          <w:sz w:val="24"/>
          <w:u w:val="single"/>
          <w:lang w:val="es-ES" w:eastAsia="en-US"/>
        </w:rPr>
        <w:t>Nuevos requisitos del reglamento Transparencia</w:t>
      </w:r>
      <w:r w:rsidRPr="00F3311F">
        <w:rPr>
          <w:rFonts w:asciiTheme="majorHAnsi" w:eastAsiaTheme="minorHAnsi" w:hAnsiTheme="majorHAnsi" w:cstheme="majorHAnsi"/>
          <w:sz w:val="24"/>
          <w:lang w:val="es-ES" w:eastAsia="en-US"/>
        </w:rPr>
        <w:t xml:space="preserve"> </w:t>
      </w:r>
    </w:p>
    <w:p w14:paraId="4D5B8E43" w14:textId="77777777" w:rsidR="00C877AB" w:rsidRDefault="00C877AB" w:rsidP="00D4710E">
      <w:pPr>
        <w:spacing w:line="276" w:lineRule="auto"/>
        <w:ind w:left="993"/>
        <w:jc w:val="both"/>
        <w:rPr>
          <w:rFonts w:asciiTheme="majorHAnsi" w:eastAsiaTheme="minorHAnsi" w:hAnsiTheme="majorHAnsi" w:cstheme="majorHAnsi"/>
          <w:sz w:val="24"/>
          <w:lang w:val="es-ES" w:eastAsia="en-US"/>
        </w:rPr>
      </w:pPr>
    </w:p>
    <w:p w14:paraId="544FD05D" w14:textId="77777777" w:rsidR="00402331" w:rsidRPr="00402331"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val="es-ES" w:eastAsia="en-US"/>
        </w:rPr>
        <w:t>La Comisión Europea está trabajando en la modificación del Reglamento 2017/1185 en lo que respecta a la notificación de información a la Comisión en relación con la transparencia de mercados. Actualmente este Reglamento obliga a notificar los precios de venta de producción de los operadores en la primera fase de la cadena. Con esta modificación, se extienden las obligaciones de notificación a otros operadores de la cadena, entre ellos a la industria y la distribución.</w:t>
      </w:r>
    </w:p>
    <w:p w14:paraId="3E65CFFC" w14:textId="58D1B254" w:rsidR="00402331" w:rsidRPr="003B29AB"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val="es-ES" w:eastAsia="en-US"/>
        </w:rPr>
        <w:t xml:space="preserve">Este acto de la comisión se deriva de las conclusiones de la </w:t>
      </w:r>
      <w:proofErr w:type="spellStart"/>
      <w:r w:rsidRPr="00402331">
        <w:rPr>
          <w:rFonts w:asciiTheme="majorHAnsi" w:eastAsiaTheme="minorHAnsi" w:hAnsiTheme="majorHAnsi" w:cstheme="majorHAnsi"/>
          <w:sz w:val="24"/>
          <w:lang w:val="es-ES" w:eastAsia="en-US"/>
        </w:rPr>
        <w:t>Task</w:t>
      </w:r>
      <w:proofErr w:type="spellEnd"/>
      <w:r w:rsidRPr="00402331">
        <w:rPr>
          <w:rFonts w:asciiTheme="majorHAnsi" w:eastAsiaTheme="minorHAnsi" w:hAnsiTheme="majorHAnsi" w:cstheme="majorHAnsi"/>
          <w:sz w:val="24"/>
          <w:lang w:val="es-ES" w:eastAsia="en-US"/>
        </w:rPr>
        <w:t xml:space="preserve"> </w:t>
      </w:r>
      <w:proofErr w:type="spellStart"/>
      <w:r w:rsidRPr="00402331">
        <w:rPr>
          <w:rFonts w:asciiTheme="majorHAnsi" w:eastAsiaTheme="minorHAnsi" w:hAnsiTheme="majorHAnsi" w:cstheme="majorHAnsi"/>
          <w:sz w:val="24"/>
          <w:lang w:val="es-ES" w:eastAsia="en-US"/>
        </w:rPr>
        <w:t>Force</w:t>
      </w:r>
      <w:proofErr w:type="spellEnd"/>
      <w:r w:rsidRPr="00402331">
        <w:rPr>
          <w:rFonts w:asciiTheme="majorHAnsi" w:eastAsiaTheme="minorHAnsi" w:hAnsiTheme="majorHAnsi" w:cstheme="majorHAnsi"/>
          <w:sz w:val="24"/>
          <w:lang w:val="es-ES" w:eastAsia="en-US"/>
        </w:rPr>
        <w:t xml:space="preserve"> de la cadena alimentaria y el mandato dado para aumentar la transparencia de mercado. Entendemos que la mejora del equilibrio de la cadena alimentaria debe tener en cuenta y debe servirse de toda información sobre las transacciones comerciales que se dan entre los diferentes agentes de la cadena. Coincidimos en que la traspar</w:t>
      </w:r>
      <w:r w:rsidR="003B29AB">
        <w:rPr>
          <w:rFonts w:asciiTheme="majorHAnsi" w:eastAsiaTheme="minorHAnsi" w:hAnsiTheme="majorHAnsi" w:cstheme="majorHAnsi"/>
          <w:sz w:val="24"/>
          <w:lang w:val="es-ES" w:eastAsia="en-US"/>
        </w:rPr>
        <w:t>encia en clave para alcanzarlo.</w:t>
      </w:r>
    </w:p>
    <w:p w14:paraId="62E8D149" w14:textId="77777777" w:rsidR="00402331" w:rsidRPr="00402331" w:rsidRDefault="00402331" w:rsidP="00D4710E">
      <w:pPr>
        <w:spacing w:line="276" w:lineRule="auto"/>
        <w:jc w:val="both"/>
        <w:rPr>
          <w:rFonts w:asciiTheme="majorHAnsi" w:eastAsiaTheme="minorHAnsi" w:hAnsiTheme="majorHAnsi" w:cstheme="majorHAnsi"/>
          <w:sz w:val="24"/>
          <w:lang w:eastAsia="en-US"/>
        </w:rPr>
      </w:pPr>
      <w:r w:rsidRPr="00402331">
        <w:rPr>
          <w:rFonts w:asciiTheme="majorHAnsi" w:eastAsiaTheme="minorHAnsi" w:hAnsiTheme="majorHAnsi" w:cstheme="majorHAnsi"/>
          <w:sz w:val="24"/>
          <w:lang w:eastAsia="en-US"/>
        </w:rPr>
        <w:t>Con la modificación se pretende aumentar la información de mercado en todos los eslabones de la cadena para un grupo de productos agrarios: cereales, arroz, oleaginosas, aceite de oliva, frutas y hortalizas (tomates, manzanas, naranjas y melocotones y nectarinas, el resto es voluntario), carnes de vacuno y porcino, lácteos, huevos y pollo mencionados en tres anexos del Reglamento con precios de compra y precios de venta, producciones, consumos, stocks, etc.</w:t>
      </w:r>
    </w:p>
    <w:p w14:paraId="18B1B616" w14:textId="77777777" w:rsidR="00402331" w:rsidRPr="00402331" w:rsidRDefault="00402331" w:rsidP="00D4710E">
      <w:pPr>
        <w:spacing w:line="276" w:lineRule="auto"/>
        <w:jc w:val="both"/>
        <w:rPr>
          <w:rFonts w:asciiTheme="majorHAnsi" w:eastAsiaTheme="minorHAnsi" w:hAnsiTheme="majorHAnsi" w:cstheme="majorHAnsi"/>
          <w:sz w:val="24"/>
          <w:lang w:eastAsia="en-US"/>
        </w:rPr>
      </w:pPr>
      <w:r w:rsidRPr="00402331">
        <w:rPr>
          <w:rFonts w:asciiTheme="majorHAnsi" w:eastAsiaTheme="minorHAnsi" w:hAnsiTheme="majorHAnsi" w:cstheme="majorHAnsi"/>
          <w:sz w:val="24"/>
          <w:lang w:eastAsia="en-US"/>
        </w:rPr>
        <w:lastRenderedPageBreak/>
        <w:t>Se señala que se incluyen en el anexo II precios de venta de productos ecológicos u orgánicos: cereales, oleaginosas y cultivos proteicos, aceite de oliva, frutas y hortalizas, carnes, leche cruda, y pollo ecológicos.</w:t>
      </w:r>
    </w:p>
    <w:p w14:paraId="74A3384A" w14:textId="77777777" w:rsidR="00402331" w:rsidRPr="00402331"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eastAsia="en-US"/>
        </w:rPr>
        <w:t xml:space="preserve">Se quiere aumentar los agentes que suministran información al </w:t>
      </w:r>
      <w:proofErr w:type="spellStart"/>
      <w:r w:rsidRPr="00402331">
        <w:rPr>
          <w:rFonts w:asciiTheme="majorHAnsi" w:eastAsiaTheme="minorHAnsi" w:hAnsiTheme="majorHAnsi" w:cstheme="majorHAnsi"/>
          <w:sz w:val="24"/>
          <w:lang w:eastAsia="en-US"/>
        </w:rPr>
        <w:t>Agri</w:t>
      </w:r>
      <w:proofErr w:type="spellEnd"/>
      <w:r w:rsidRPr="00402331">
        <w:rPr>
          <w:rFonts w:asciiTheme="majorHAnsi" w:eastAsiaTheme="minorHAnsi" w:hAnsiTheme="majorHAnsi" w:cstheme="majorHAnsi"/>
          <w:sz w:val="24"/>
          <w:lang w:eastAsia="en-US"/>
        </w:rPr>
        <w:t xml:space="preserve"> </w:t>
      </w:r>
      <w:proofErr w:type="spellStart"/>
      <w:r w:rsidRPr="00402331">
        <w:rPr>
          <w:rFonts w:asciiTheme="majorHAnsi" w:eastAsiaTheme="minorHAnsi" w:hAnsiTheme="majorHAnsi" w:cstheme="majorHAnsi"/>
          <w:sz w:val="24"/>
          <w:lang w:eastAsia="en-US"/>
        </w:rPr>
        <w:t>food</w:t>
      </w:r>
      <w:proofErr w:type="spellEnd"/>
      <w:r w:rsidRPr="00402331">
        <w:rPr>
          <w:rFonts w:asciiTheme="majorHAnsi" w:eastAsiaTheme="minorHAnsi" w:hAnsiTheme="majorHAnsi" w:cstheme="majorHAnsi"/>
          <w:sz w:val="24"/>
          <w:lang w:eastAsia="en-US"/>
        </w:rPr>
        <w:t xml:space="preserve"> data portal de la Comisión a las empresas de la industria alimentaria y del </w:t>
      </w:r>
      <w:proofErr w:type="spellStart"/>
      <w:r w:rsidRPr="00402331">
        <w:rPr>
          <w:rFonts w:asciiTheme="majorHAnsi" w:eastAsiaTheme="minorHAnsi" w:hAnsiTheme="majorHAnsi" w:cstheme="majorHAnsi"/>
          <w:sz w:val="24"/>
          <w:lang w:eastAsia="en-US"/>
        </w:rPr>
        <w:t>retail</w:t>
      </w:r>
      <w:proofErr w:type="spellEnd"/>
      <w:r w:rsidRPr="00402331">
        <w:rPr>
          <w:rFonts w:asciiTheme="majorHAnsi" w:eastAsiaTheme="minorHAnsi" w:hAnsiTheme="majorHAnsi" w:cstheme="majorHAnsi"/>
          <w:sz w:val="24"/>
          <w:lang w:eastAsia="en-US"/>
        </w:rPr>
        <w:t xml:space="preserve"> (venta al por menor). </w:t>
      </w:r>
    </w:p>
    <w:p w14:paraId="34B367F8" w14:textId="77777777" w:rsidR="00402331" w:rsidRPr="00402331"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val="es-ES" w:eastAsia="en-US"/>
        </w:rPr>
        <w:t xml:space="preserve">La propuesta de la </w:t>
      </w:r>
      <w:r w:rsidRPr="00402331">
        <w:rPr>
          <w:rFonts w:asciiTheme="majorHAnsi" w:eastAsiaTheme="minorHAnsi" w:hAnsiTheme="majorHAnsi" w:cstheme="majorHAnsi"/>
          <w:bCs/>
          <w:sz w:val="24"/>
          <w:lang w:val="es-ES" w:eastAsia="en-US"/>
        </w:rPr>
        <w:t>Comisión Europea</w:t>
      </w:r>
      <w:r w:rsidRPr="00402331">
        <w:rPr>
          <w:rFonts w:asciiTheme="majorHAnsi" w:eastAsiaTheme="minorHAnsi" w:hAnsiTheme="majorHAnsi" w:cstheme="majorHAnsi"/>
          <w:sz w:val="24"/>
          <w:lang w:val="es-ES" w:eastAsia="en-US"/>
        </w:rPr>
        <w:t xml:space="preserve"> permitirá </w:t>
      </w:r>
      <w:r w:rsidRPr="00402331">
        <w:rPr>
          <w:rFonts w:asciiTheme="majorHAnsi" w:eastAsiaTheme="minorHAnsi" w:hAnsiTheme="majorHAnsi" w:cstheme="majorHAnsi"/>
          <w:bCs/>
          <w:sz w:val="24"/>
          <w:lang w:val="es-ES" w:eastAsia="en-US"/>
        </w:rPr>
        <w:t>dar información detallada sobre la forma en que se determinan los precios a lo largo de la cadena alimentaria.</w:t>
      </w:r>
      <w:r w:rsidRPr="00402331">
        <w:rPr>
          <w:rFonts w:asciiTheme="majorHAnsi" w:eastAsiaTheme="minorHAnsi" w:hAnsiTheme="majorHAnsi" w:cstheme="majorHAnsi"/>
          <w:sz w:val="24"/>
          <w:lang w:val="es-ES" w:eastAsia="en-US"/>
        </w:rPr>
        <w:t xml:space="preserve"> Las diferencias entre los precios de compra y venta pueden ofrecer información sobre los costes intermedios (transporte, seguros, almacenamiento, etc.). Conseguir una mayor transparencia permitirá adoptar mejores decisiones y aumentar la confianza en que se produzcan prácticas comerciales justas a lo largo de la cadena alimentaria. Una información oportuna y de </w:t>
      </w:r>
      <w:r w:rsidRPr="00402331">
        <w:rPr>
          <w:rFonts w:asciiTheme="majorHAnsi" w:eastAsiaTheme="minorHAnsi" w:hAnsiTheme="majorHAnsi" w:cstheme="majorHAnsi"/>
          <w:bCs/>
          <w:sz w:val="24"/>
          <w:lang w:val="es-ES" w:eastAsia="en-US"/>
        </w:rPr>
        <w:t>fácil acceso</w:t>
      </w:r>
      <w:r w:rsidRPr="00402331">
        <w:rPr>
          <w:rFonts w:asciiTheme="majorHAnsi" w:eastAsiaTheme="minorHAnsi" w:hAnsiTheme="majorHAnsi" w:cstheme="majorHAnsi"/>
          <w:sz w:val="24"/>
          <w:lang w:val="es-ES" w:eastAsia="en-US"/>
        </w:rPr>
        <w:t xml:space="preserve"> también permite conocer la </w:t>
      </w:r>
      <w:r w:rsidRPr="00402331">
        <w:rPr>
          <w:rFonts w:asciiTheme="majorHAnsi" w:eastAsiaTheme="minorHAnsi" w:hAnsiTheme="majorHAnsi" w:cstheme="majorHAnsi"/>
          <w:bCs/>
          <w:sz w:val="24"/>
          <w:lang w:val="es-ES" w:eastAsia="en-US"/>
        </w:rPr>
        <w:t>evolución del mercado</w:t>
      </w:r>
      <w:r w:rsidRPr="00402331">
        <w:rPr>
          <w:rFonts w:asciiTheme="majorHAnsi" w:eastAsiaTheme="minorHAnsi" w:hAnsiTheme="majorHAnsi" w:cstheme="majorHAnsi"/>
          <w:sz w:val="24"/>
          <w:lang w:val="es-ES" w:eastAsia="en-US"/>
        </w:rPr>
        <w:t xml:space="preserve"> para competir en todos los mercados.</w:t>
      </w:r>
    </w:p>
    <w:p w14:paraId="61A85CF3" w14:textId="77777777" w:rsidR="00402331" w:rsidRPr="00402331"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val="es-ES" w:eastAsia="en-US"/>
        </w:rPr>
        <w:t xml:space="preserve">A pesar de que la información sobre lo que sucede en los mercados agrícolas en cuanto a precios, volúmenes de producción o existencias, entre otros, es abundante, </w:t>
      </w:r>
      <w:r w:rsidRPr="00402331">
        <w:rPr>
          <w:rFonts w:asciiTheme="majorHAnsi" w:eastAsiaTheme="minorHAnsi" w:hAnsiTheme="majorHAnsi" w:cstheme="majorHAnsi"/>
          <w:bCs/>
          <w:sz w:val="24"/>
          <w:lang w:val="es-ES" w:eastAsia="en-US"/>
        </w:rPr>
        <w:t xml:space="preserve">apenas existen datos sobre otros mercados clave, </w:t>
      </w:r>
      <w:r w:rsidRPr="00402331">
        <w:rPr>
          <w:rFonts w:asciiTheme="majorHAnsi" w:eastAsiaTheme="minorHAnsi" w:hAnsiTheme="majorHAnsi" w:cstheme="majorHAnsi"/>
          <w:sz w:val="24"/>
          <w:lang w:val="es-ES" w:eastAsia="en-US"/>
        </w:rPr>
        <w:t>y en otras fases</w:t>
      </w:r>
      <w:r w:rsidRPr="00402331">
        <w:rPr>
          <w:rFonts w:asciiTheme="majorHAnsi" w:eastAsiaTheme="minorHAnsi" w:hAnsiTheme="majorHAnsi" w:cstheme="majorHAnsi"/>
          <w:bCs/>
          <w:sz w:val="24"/>
          <w:lang w:val="es-ES" w:eastAsia="en-US"/>
        </w:rPr>
        <w:t xml:space="preserve"> </w:t>
      </w:r>
      <w:r w:rsidRPr="00402331">
        <w:rPr>
          <w:rFonts w:asciiTheme="majorHAnsi" w:eastAsiaTheme="minorHAnsi" w:hAnsiTheme="majorHAnsi" w:cstheme="majorHAnsi"/>
          <w:sz w:val="24"/>
          <w:lang w:val="es-ES" w:eastAsia="en-US"/>
        </w:rPr>
        <w:t xml:space="preserve">de la cadena de suministro alimentaria. Se incluyen aquí los mercados y eslabones que operan entre los agricultores y los consumidores en la </w:t>
      </w:r>
      <w:r w:rsidRPr="00402331">
        <w:rPr>
          <w:rFonts w:asciiTheme="majorHAnsi" w:eastAsiaTheme="minorHAnsi" w:hAnsiTheme="majorHAnsi" w:cstheme="majorHAnsi"/>
          <w:bCs/>
          <w:sz w:val="24"/>
          <w:lang w:val="es-ES" w:eastAsia="en-US"/>
        </w:rPr>
        <w:t>trasformación de alimentos</w:t>
      </w:r>
      <w:r w:rsidRPr="00402331">
        <w:rPr>
          <w:rFonts w:asciiTheme="majorHAnsi" w:eastAsiaTheme="minorHAnsi" w:hAnsiTheme="majorHAnsi" w:cstheme="majorHAnsi"/>
          <w:sz w:val="24"/>
          <w:lang w:val="es-ES" w:eastAsia="en-US"/>
        </w:rPr>
        <w:t xml:space="preserve"> y el comercio minorista. Esta asimetría implica que los agricultores se hallan en desventaja en el mercado y</w:t>
      </w:r>
      <w:r w:rsidRPr="00402331">
        <w:rPr>
          <w:rFonts w:asciiTheme="majorHAnsi" w:eastAsiaTheme="minorHAnsi" w:hAnsiTheme="majorHAnsi" w:cstheme="majorHAnsi"/>
          <w:bCs/>
          <w:sz w:val="24"/>
          <w:lang w:val="es-ES" w:eastAsia="en-US"/>
        </w:rPr>
        <w:t xml:space="preserve"> se ve mermada la confianza en un comercio justo</w:t>
      </w:r>
      <w:r w:rsidRPr="00402331">
        <w:rPr>
          <w:rFonts w:asciiTheme="majorHAnsi" w:eastAsiaTheme="minorHAnsi" w:hAnsiTheme="majorHAnsi" w:cstheme="majorHAnsi"/>
          <w:sz w:val="24"/>
          <w:lang w:val="es-ES" w:eastAsia="en-US"/>
        </w:rPr>
        <w:t>.</w:t>
      </w:r>
    </w:p>
    <w:p w14:paraId="1302B78A" w14:textId="731B0BC2" w:rsidR="00402331" w:rsidRPr="00402331" w:rsidRDefault="00402331" w:rsidP="00D4710E">
      <w:pPr>
        <w:spacing w:line="276" w:lineRule="auto"/>
        <w:jc w:val="both"/>
        <w:rPr>
          <w:rFonts w:asciiTheme="majorHAnsi" w:eastAsiaTheme="minorHAnsi" w:hAnsiTheme="majorHAnsi" w:cstheme="majorHAnsi"/>
          <w:sz w:val="24"/>
          <w:lang w:val="es-ES" w:eastAsia="en-US"/>
        </w:rPr>
      </w:pPr>
      <w:r w:rsidRPr="00402331">
        <w:rPr>
          <w:rFonts w:asciiTheme="majorHAnsi" w:eastAsiaTheme="minorHAnsi" w:hAnsiTheme="majorHAnsi" w:cstheme="majorHAnsi"/>
          <w:sz w:val="24"/>
          <w:lang w:val="es-ES" w:eastAsia="en-US"/>
        </w:rPr>
        <w:t xml:space="preserve">Las </w:t>
      </w:r>
      <w:r w:rsidRPr="00402331">
        <w:rPr>
          <w:rFonts w:asciiTheme="majorHAnsi" w:eastAsiaTheme="minorHAnsi" w:hAnsiTheme="majorHAnsi" w:cstheme="majorHAnsi"/>
          <w:bCs/>
          <w:sz w:val="24"/>
          <w:lang w:val="es-ES" w:eastAsia="en-US"/>
        </w:rPr>
        <w:t>medidas propuestas por la Comisión se aplicarán a los sectores de la carne,</w:t>
      </w:r>
      <w:r w:rsidRPr="00402331">
        <w:rPr>
          <w:rFonts w:asciiTheme="majorHAnsi" w:eastAsiaTheme="minorHAnsi" w:hAnsiTheme="majorHAnsi" w:cstheme="majorHAnsi"/>
          <w:sz w:val="24"/>
          <w:lang w:val="es-ES" w:eastAsia="en-US"/>
        </w:rPr>
        <w:t xml:space="preserve"> los huevos, los productos lácteos, las frutas y hortalizas, los</w:t>
      </w:r>
      <w:r w:rsidRPr="00402331">
        <w:rPr>
          <w:rFonts w:asciiTheme="majorHAnsi" w:eastAsiaTheme="minorHAnsi" w:hAnsiTheme="majorHAnsi" w:cstheme="majorHAnsi"/>
          <w:bCs/>
          <w:sz w:val="24"/>
          <w:lang w:val="es-ES" w:eastAsia="en-US"/>
        </w:rPr>
        <w:t xml:space="preserve"> cultivos herbáceos</w:t>
      </w:r>
      <w:r w:rsidRPr="00402331">
        <w:rPr>
          <w:rFonts w:asciiTheme="majorHAnsi" w:eastAsiaTheme="minorHAnsi" w:hAnsiTheme="majorHAnsi" w:cstheme="majorHAnsi"/>
          <w:sz w:val="24"/>
          <w:lang w:val="es-ES" w:eastAsia="en-US"/>
        </w:rPr>
        <w:t xml:space="preserve">, el </w:t>
      </w:r>
      <w:r w:rsidRPr="00402331">
        <w:rPr>
          <w:rFonts w:asciiTheme="majorHAnsi" w:eastAsiaTheme="minorHAnsi" w:hAnsiTheme="majorHAnsi" w:cstheme="majorHAnsi"/>
          <w:bCs/>
          <w:sz w:val="24"/>
          <w:lang w:val="es-ES" w:eastAsia="en-US"/>
        </w:rPr>
        <w:t xml:space="preserve">azúcar </w:t>
      </w:r>
      <w:r w:rsidRPr="00402331">
        <w:rPr>
          <w:rFonts w:asciiTheme="majorHAnsi" w:eastAsiaTheme="minorHAnsi" w:hAnsiTheme="majorHAnsi" w:cstheme="majorHAnsi"/>
          <w:sz w:val="24"/>
          <w:lang w:val="es-ES" w:eastAsia="en-US"/>
        </w:rPr>
        <w:t xml:space="preserve">y el </w:t>
      </w:r>
      <w:r w:rsidRPr="00402331">
        <w:rPr>
          <w:rFonts w:asciiTheme="majorHAnsi" w:eastAsiaTheme="minorHAnsi" w:hAnsiTheme="majorHAnsi" w:cstheme="majorHAnsi"/>
          <w:bCs/>
          <w:sz w:val="24"/>
          <w:lang w:val="es-ES" w:eastAsia="en-US"/>
        </w:rPr>
        <w:t>aceite de oliva</w:t>
      </w:r>
      <w:r w:rsidRPr="00402331">
        <w:rPr>
          <w:rFonts w:asciiTheme="majorHAnsi" w:eastAsiaTheme="minorHAnsi" w:hAnsiTheme="majorHAnsi" w:cstheme="majorHAnsi"/>
          <w:sz w:val="24"/>
          <w:lang w:val="es-ES" w:eastAsia="en-US"/>
        </w:rPr>
        <w:t xml:space="preserve">. Se toman como base los sistemas y procedimientos de recogida de datos que ya existen y que </w:t>
      </w:r>
      <w:r w:rsidRPr="00402331">
        <w:rPr>
          <w:rFonts w:asciiTheme="majorHAnsi" w:eastAsiaTheme="minorHAnsi" w:hAnsiTheme="majorHAnsi" w:cstheme="majorHAnsi"/>
          <w:bCs/>
          <w:sz w:val="24"/>
          <w:lang w:val="es-ES" w:eastAsia="en-US"/>
        </w:rPr>
        <w:t>utilizan los operadores</w:t>
      </w:r>
      <w:r w:rsidRPr="00402331">
        <w:rPr>
          <w:rFonts w:asciiTheme="majorHAnsi" w:eastAsiaTheme="minorHAnsi" w:hAnsiTheme="majorHAnsi" w:cstheme="majorHAnsi"/>
          <w:sz w:val="24"/>
          <w:lang w:val="es-ES" w:eastAsia="en-US"/>
        </w:rPr>
        <w:t xml:space="preserve"> y los </w:t>
      </w:r>
      <w:r w:rsidR="003D1BF6">
        <w:rPr>
          <w:rFonts w:asciiTheme="majorHAnsi" w:eastAsiaTheme="minorHAnsi" w:hAnsiTheme="majorHAnsi" w:cstheme="majorHAnsi"/>
          <w:bCs/>
          <w:sz w:val="24"/>
          <w:lang w:val="es-ES" w:eastAsia="en-US"/>
        </w:rPr>
        <w:t>Estados miembro</w:t>
      </w:r>
      <w:r w:rsidRPr="00402331">
        <w:rPr>
          <w:rFonts w:asciiTheme="majorHAnsi" w:eastAsiaTheme="minorHAnsi" w:hAnsiTheme="majorHAnsi" w:cstheme="majorHAnsi"/>
          <w:sz w:val="24"/>
          <w:lang w:val="es-ES" w:eastAsia="en-US"/>
        </w:rPr>
        <w:t xml:space="preserve"> para notificar la información de </w:t>
      </w:r>
      <w:r w:rsidRPr="00402331">
        <w:rPr>
          <w:rFonts w:asciiTheme="majorHAnsi" w:eastAsiaTheme="minorHAnsi" w:hAnsiTheme="majorHAnsi" w:cstheme="majorHAnsi"/>
          <w:bCs/>
          <w:sz w:val="24"/>
          <w:lang w:val="es-ES" w:eastAsia="en-US"/>
        </w:rPr>
        <w:t>mercado a la Comisión</w:t>
      </w:r>
      <w:r w:rsidRPr="00402331">
        <w:rPr>
          <w:rFonts w:asciiTheme="majorHAnsi" w:eastAsiaTheme="minorHAnsi" w:hAnsiTheme="majorHAnsi" w:cstheme="majorHAnsi"/>
          <w:sz w:val="24"/>
          <w:lang w:val="es-ES" w:eastAsia="en-US"/>
        </w:rPr>
        <w:t>. Cada Estado será responsable de la recogida de datos sobre precios y mercados. La Comisión propone que los países elijan el enfoque más rentable y estos comunicarán los datos a la Comisión, que a través del portal de datos agroalimentarios y los observatorios de los mercados de la UE facilitará la supervisión. Para ello es esencial que los Estados proporcionen una información precisa y que lo hagan en el momento oportuno.</w:t>
      </w:r>
    </w:p>
    <w:p w14:paraId="41A17BCE" w14:textId="77777777" w:rsidR="00D93BF7" w:rsidRPr="00F3311F" w:rsidRDefault="00D93BF7" w:rsidP="00D4710E">
      <w:pPr>
        <w:spacing w:line="276" w:lineRule="auto"/>
        <w:ind w:left="993"/>
        <w:jc w:val="both"/>
        <w:rPr>
          <w:rFonts w:asciiTheme="majorHAnsi" w:eastAsiaTheme="minorHAnsi" w:hAnsiTheme="majorHAnsi" w:cstheme="majorHAnsi"/>
          <w:sz w:val="24"/>
          <w:lang w:val="es-ES" w:eastAsia="en-US"/>
        </w:rPr>
      </w:pPr>
    </w:p>
    <w:p w14:paraId="20F3CF7F" w14:textId="77777777" w:rsidR="00D80CC7" w:rsidRPr="00F3311F" w:rsidRDefault="00D80CC7"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u w:val="single"/>
          <w:lang w:val="es-ES" w:eastAsia="en-US"/>
        </w:rPr>
        <w:t>- Euro alimentario:</w:t>
      </w:r>
      <w:r w:rsidRPr="00F3311F">
        <w:rPr>
          <w:rFonts w:asciiTheme="majorHAnsi" w:eastAsiaTheme="minorHAnsi" w:hAnsiTheme="majorHAnsi" w:cstheme="majorHAnsi"/>
          <w:sz w:val="24"/>
          <w:lang w:val="es-ES" w:eastAsia="en-US"/>
        </w:rPr>
        <w:t xml:space="preserve"> (información útil sobre la distribución del valor añadido).</w:t>
      </w:r>
    </w:p>
    <w:p w14:paraId="0EC6C318" w14:textId="6CBB8CEA" w:rsidR="000610C9" w:rsidRPr="000610C9" w:rsidRDefault="000610C9" w:rsidP="00D4710E">
      <w:p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 xml:space="preserve"># </w:t>
      </w:r>
      <w:proofErr w:type="spellStart"/>
      <w:r w:rsidRPr="000610C9">
        <w:rPr>
          <w:rFonts w:asciiTheme="majorHAnsi" w:eastAsiaTheme="minorHAnsi" w:hAnsiTheme="majorHAnsi" w:cstheme="majorHAnsi"/>
          <w:sz w:val="24"/>
          <w:lang w:val="es-ES" w:eastAsia="en-US"/>
        </w:rPr>
        <w:t>Food</w:t>
      </w:r>
      <w:proofErr w:type="spellEnd"/>
      <w:r w:rsidRPr="000610C9">
        <w:rPr>
          <w:rFonts w:asciiTheme="majorHAnsi" w:eastAsiaTheme="minorHAnsi" w:hAnsiTheme="majorHAnsi" w:cstheme="majorHAnsi"/>
          <w:sz w:val="24"/>
          <w:lang w:val="es-ES" w:eastAsia="en-US"/>
        </w:rPr>
        <w:t xml:space="preserve"> es un indicador de composición de los precios de los alimentos que pretende especificar cómo se distribuye el gasto de los consumidores en alimentos entre las diferentes etapas de la cadena de suministro de alimentos (agricultores, industria  y minoristas).</w:t>
      </w:r>
    </w:p>
    <w:p w14:paraId="7A371CBF" w14:textId="065E5F9D" w:rsidR="000610C9" w:rsidRPr="000610C9" w:rsidRDefault="000610C9" w:rsidP="00D4710E">
      <w:p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Dicho indicador debería mostrar principalmente patrones de composición de precios</w:t>
      </w:r>
      <w:r w:rsidR="003D1BF6">
        <w:rPr>
          <w:rFonts w:asciiTheme="majorHAnsi" w:eastAsiaTheme="minorHAnsi" w:hAnsiTheme="majorHAnsi" w:cstheme="majorHAnsi"/>
          <w:sz w:val="24"/>
          <w:lang w:val="es-ES" w:eastAsia="en-US"/>
        </w:rPr>
        <w:t xml:space="preserve"> a nivel de los Estados miembro</w:t>
      </w:r>
      <w:r w:rsidRPr="000610C9">
        <w:rPr>
          <w:rFonts w:asciiTheme="majorHAnsi" w:eastAsiaTheme="minorHAnsi" w:hAnsiTheme="majorHAnsi" w:cstheme="majorHAnsi"/>
          <w:sz w:val="24"/>
          <w:lang w:val="es-ES" w:eastAsia="en-US"/>
        </w:rPr>
        <w:t xml:space="preserve"> y, cuando sea posible, a escala europea. El indicador podría cubrir la cesta de productos más comprada. El indicador también podría mostrar, en la </w:t>
      </w:r>
      <w:r w:rsidRPr="000610C9">
        <w:rPr>
          <w:rFonts w:asciiTheme="majorHAnsi" w:eastAsiaTheme="minorHAnsi" w:hAnsiTheme="majorHAnsi" w:cstheme="majorHAnsi"/>
          <w:sz w:val="24"/>
          <w:lang w:val="es-ES" w:eastAsia="en-US"/>
        </w:rPr>
        <w:lastRenderedPageBreak/>
        <w:t>medida de lo posible, la relación entre el valor de la producción y los c</w:t>
      </w:r>
      <w:r w:rsidR="003D1BF6">
        <w:rPr>
          <w:rFonts w:asciiTheme="majorHAnsi" w:eastAsiaTheme="minorHAnsi" w:hAnsiTheme="majorHAnsi" w:cstheme="majorHAnsi"/>
          <w:sz w:val="24"/>
          <w:lang w:val="es-ES" w:eastAsia="en-US"/>
        </w:rPr>
        <w:t>oste</w:t>
      </w:r>
      <w:r w:rsidRPr="000610C9">
        <w:rPr>
          <w:rFonts w:asciiTheme="majorHAnsi" w:eastAsiaTheme="minorHAnsi" w:hAnsiTheme="majorHAnsi" w:cstheme="majorHAnsi"/>
          <w:sz w:val="24"/>
          <w:lang w:val="es-ES" w:eastAsia="en-US"/>
        </w:rPr>
        <w:t>s de los insumos.</w:t>
      </w:r>
    </w:p>
    <w:p w14:paraId="2F56D1F6" w14:textId="77777777" w:rsidR="000610C9" w:rsidRPr="000610C9" w:rsidRDefault="000610C9" w:rsidP="00D4710E">
      <w:pPr>
        <w:spacing w:line="276" w:lineRule="auto"/>
        <w:ind w:left="993"/>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u w:val="single"/>
          <w:lang w:val="es-ES" w:eastAsia="en-US"/>
        </w:rPr>
        <w:t>Objetivos del establecimiento del indicador:</w:t>
      </w:r>
    </w:p>
    <w:p w14:paraId="30C18689" w14:textId="5E9CFE97" w:rsidR="000610C9" w:rsidRPr="000610C9" w:rsidRDefault="000610C9" w:rsidP="000033C1">
      <w:pPr>
        <w:numPr>
          <w:ilvl w:val="0"/>
          <w:numId w:val="20"/>
        </w:num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Aumentar la conciencia acerca de la distribución del valor añadido y otros componentes de producción a través de la cadena alimentaria y, posiblemente, abordar conceptos erróneos existentes relativos a la distribución de beneficios.</w:t>
      </w:r>
    </w:p>
    <w:p w14:paraId="0B530A24" w14:textId="77777777" w:rsidR="000610C9" w:rsidRPr="000610C9" w:rsidRDefault="000610C9" w:rsidP="000033C1">
      <w:pPr>
        <w:numPr>
          <w:ilvl w:val="0"/>
          <w:numId w:val="20"/>
        </w:num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Crear incentivos para que las autoridades públicas y las partes interesadas mejoren su recopilación de datos.</w:t>
      </w:r>
    </w:p>
    <w:p w14:paraId="0BB8CECA" w14:textId="77777777" w:rsidR="000610C9" w:rsidRPr="000610C9" w:rsidRDefault="000610C9" w:rsidP="000033C1">
      <w:pPr>
        <w:numPr>
          <w:ilvl w:val="0"/>
          <w:numId w:val="20"/>
        </w:num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Permitir a los consumidores, los productores y procesadores de PYME para evaluar si los cambios de precios en los estantes están relacionados con la evolución de los precios de las materias primas.</w:t>
      </w:r>
    </w:p>
    <w:p w14:paraId="610E7E9C" w14:textId="09E53847" w:rsidR="00297BDF" w:rsidRPr="003D1BF6" w:rsidRDefault="000610C9" w:rsidP="003D1BF6">
      <w:pPr>
        <w:numPr>
          <w:ilvl w:val="0"/>
          <w:numId w:val="20"/>
        </w:numPr>
        <w:spacing w:line="276" w:lineRule="auto"/>
        <w:jc w:val="both"/>
        <w:rPr>
          <w:rFonts w:asciiTheme="majorHAnsi" w:eastAsiaTheme="minorHAnsi" w:hAnsiTheme="majorHAnsi" w:cstheme="majorHAnsi"/>
          <w:sz w:val="24"/>
          <w:lang w:val="es-ES" w:eastAsia="en-US"/>
        </w:rPr>
      </w:pPr>
      <w:r w:rsidRPr="000610C9">
        <w:rPr>
          <w:rFonts w:asciiTheme="majorHAnsi" w:eastAsiaTheme="minorHAnsi" w:hAnsiTheme="majorHAnsi" w:cstheme="majorHAnsi"/>
          <w:sz w:val="24"/>
          <w:lang w:val="es-ES" w:eastAsia="en-US"/>
        </w:rPr>
        <w:t>Permitir una mejor formulación de políticas en el sector de la alimentación, facilitando la comparación de la evolución y las tendencias e</w:t>
      </w:r>
      <w:r w:rsidR="003D1BF6">
        <w:rPr>
          <w:rFonts w:asciiTheme="majorHAnsi" w:eastAsiaTheme="minorHAnsi" w:hAnsiTheme="majorHAnsi" w:cstheme="majorHAnsi"/>
          <w:sz w:val="24"/>
          <w:lang w:val="es-ES" w:eastAsia="en-US"/>
        </w:rPr>
        <w:t>n los distintos Estados miembro</w:t>
      </w:r>
      <w:r w:rsidRPr="000610C9">
        <w:rPr>
          <w:rFonts w:asciiTheme="majorHAnsi" w:eastAsiaTheme="minorHAnsi" w:hAnsiTheme="majorHAnsi" w:cstheme="majorHAnsi"/>
          <w:sz w:val="24"/>
          <w:lang w:val="es-ES" w:eastAsia="en-US"/>
        </w:rPr>
        <w:t xml:space="preserve"> y entre los diferentes sectores.</w:t>
      </w:r>
    </w:p>
    <w:p w14:paraId="4050EAB0" w14:textId="77777777" w:rsidR="00297BDF" w:rsidRPr="000610C9" w:rsidRDefault="00297BDF" w:rsidP="00D4710E">
      <w:pPr>
        <w:spacing w:line="276" w:lineRule="auto"/>
        <w:ind w:left="720"/>
        <w:jc w:val="both"/>
        <w:rPr>
          <w:rFonts w:asciiTheme="majorHAnsi" w:eastAsiaTheme="minorHAnsi" w:hAnsiTheme="majorHAnsi" w:cstheme="majorHAnsi"/>
          <w:sz w:val="24"/>
          <w:lang w:val="es-ES" w:eastAsia="en-US"/>
        </w:rPr>
      </w:pPr>
    </w:p>
    <w:p w14:paraId="446C0CF5" w14:textId="77777777" w:rsidR="00D80CC7" w:rsidRDefault="00D80CC7" w:rsidP="00D4710E">
      <w:pPr>
        <w:spacing w:line="276" w:lineRule="auto"/>
        <w:ind w:left="993"/>
        <w:jc w:val="both"/>
        <w:rPr>
          <w:rFonts w:asciiTheme="majorHAnsi" w:eastAsiaTheme="minorHAnsi" w:hAnsiTheme="majorHAnsi" w:cstheme="majorHAnsi"/>
          <w:sz w:val="24"/>
          <w:u w:val="single"/>
          <w:lang w:val="es-ES" w:eastAsia="en-US"/>
        </w:rPr>
      </w:pPr>
      <w:r w:rsidRPr="00F3311F">
        <w:rPr>
          <w:rFonts w:asciiTheme="majorHAnsi" w:eastAsiaTheme="minorHAnsi" w:hAnsiTheme="majorHAnsi" w:cstheme="majorHAnsi"/>
          <w:sz w:val="24"/>
          <w:lang w:val="es-ES" w:eastAsia="en-US"/>
        </w:rPr>
        <w:t xml:space="preserve">- </w:t>
      </w:r>
      <w:r w:rsidRPr="00F3311F">
        <w:rPr>
          <w:rFonts w:asciiTheme="majorHAnsi" w:eastAsiaTheme="minorHAnsi" w:hAnsiTheme="majorHAnsi" w:cstheme="majorHAnsi"/>
          <w:sz w:val="24"/>
          <w:u w:val="single"/>
          <w:lang w:val="es-ES" w:eastAsia="en-US"/>
        </w:rPr>
        <w:t>Fomento de Mercado de futuros</w:t>
      </w:r>
    </w:p>
    <w:p w14:paraId="3BD7B8D9" w14:textId="77777777" w:rsidR="00A30CE9" w:rsidRDefault="00A30CE9" w:rsidP="00D4710E">
      <w:pPr>
        <w:spacing w:line="276" w:lineRule="auto"/>
        <w:ind w:left="993"/>
        <w:jc w:val="both"/>
        <w:rPr>
          <w:rFonts w:asciiTheme="majorHAnsi" w:eastAsiaTheme="minorHAnsi" w:hAnsiTheme="majorHAnsi" w:cstheme="majorHAnsi"/>
          <w:sz w:val="24"/>
          <w:u w:val="single"/>
          <w:lang w:val="es-ES" w:eastAsia="en-US"/>
        </w:rPr>
      </w:pPr>
    </w:p>
    <w:p w14:paraId="3E8E7DFD" w14:textId="5DDB34B9" w:rsidR="00D65D3E" w:rsidRDefault="00A30CE9" w:rsidP="00D4710E">
      <w:pPr>
        <w:spacing w:line="276" w:lineRule="auto"/>
        <w:jc w:val="both"/>
        <w:rPr>
          <w:rFonts w:asciiTheme="majorHAnsi" w:eastAsiaTheme="minorHAnsi" w:hAnsiTheme="majorHAnsi" w:cstheme="majorHAnsi"/>
          <w:sz w:val="24"/>
          <w:lang w:eastAsia="en-US"/>
        </w:rPr>
      </w:pPr>
      <w:r w:rsidRPr="00A30CE9">
        <w:rPr>
          <w:rFonts w:asciiTheme="majorHAnsi" w:eastAsiaTheme="minorHAnsi" w:hAnsiTheme="majorHAnsi" w:cstheme="majorHAnsi"/>
          <w:sz w:val="24"/>
          <w:lang w:eastAsia="en-US"/>
        </w:rPr>
        <w:t xml:space="preserve">Los contratos de futuros conllevan la obligación formal de vender o comprar una cantidad determinada de productos básicos en un periodo de tiempo. Por tanto, constituyen un instrumento importante para “protegerse” frente a los aumentos de los precios en los mercados de productos básicos y suelen ser utilizados principalmente por todos los operadores de mercancías físicas en su actividad comercial habitual. Al acordar un contrato de futuros, tanto el vendedor como el comprador aseguran el precio de la transacción, independientemente de la situación real del mercado. Sin embargo, solamente el 2 por ciento de los contratos de futuros finalizan con la entrega de la mercancía física. </w:t>
      </w:r>
    </w:p>
    <w:p w14:paraId="3D827985" w14:textId="77777777" w:rsidR="00A30CE9" w:rsidRPr="00F3311F" w:rsidRDefault="00A30CE9" w:rsidP="00D4710E">
      <w:pPr>
        <w:spacing w:line="276" w:lineRule="auto"/>
        <w:jc w:val="both"/>
        <w:rPr>
          <w:rFonts w:asciiTheme="majorHAnsi" w:eastAsiaTheme="minorHAnsi" w:hAnsiTheme="majorHAnsi" w:cstheme="majorHAnsi"/>
          <w:sz w:val="24"/>
          <w:lang w:val="es-ES" w:eastAsia="en-US"/>
        </w:rPr>
      </w:pPr>
    </w:p>
    <w:p w14:paraId="73E80764" w14:textId="250CC31D" w:rsidR="00617955" w:rsidRPr="00F3311F" w:rsidRDefault="00D80CC7" w:rsidP="00297BDF">
      <w:pPr>
        <w:spacing w:line="276" w:lineRule="auto"/>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ab/>
        <w:t xml:space="preserve">- </w:t>
      </w:r>
      <w:r w:rsidRPr="00F3311F">
        <w:rPr>
          <w:rFonts w:asciiTheme="majorHAnsi" w:eastAsiaTheme="minorHAnsi" w:hAnsiTheme="majorHAnsi" w:cstheme="majorHAnsi"/>
          <w:sz w:val="24"/>
          <w:u w:val="single"/>
          <w:lang w:val="es-ES" w:eastAsia="en-US"/>
        </w:rPr>
        <w:t>Observatorio europeo</w:t>
      </w:r>
      <w:r w:rsidR="00617955" w:rsidRPr="00F3311F">
        <w:rPr>
          <w:rFonts w:asciiTheme="majorHAnsi" w:eastAsiaTheme="minorHAnsi" w:hAnsiTheme="majorHAnsi" w:cstheme="majorHAnsi"/>
          <w:sz w:val="24"/>
          <w:u w:val="single"/>
          <w:lang w:val="es-ES" w:eastAsia="en-US"/>
        </w:rPr>
        <w:t xml:space="preserve"> de mercados</w:t>
      </w:r>
      <w:r w:rsidR="00617955" w:rsidRPr="00F3311F">
        <w:rPr>
          <w:rFonts w:asciiTheme="majorHAnsi" w:eastAsiaTheme="minorHAnsi" w:hAnsiTheme="majorHAnsi" w:cstheme="majorHAnsi"/>
          <w:sz w:val="24"/>
          <w:lang w:eastAsia="en-US"/>
        </w:rPr>
        <w:br/>
      </w:r>
    </w:p>
    <w:p w14:paraId="27706FDB"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eastAsia="en-US"/>
        </w:rPr>
        <w:t>Ante la nueva situación tras la </w:t>
      </w:r>
      <w:r w:rsidRPr="00F3311F">
        <w:rPr>
          <w:rFonts w:asciiTheme="majorHAnsi" w:eastAsiaTheme="minorHAnsi" w:hAnsiTheme="majorHAnsi" w:cstheme="majorHAnsi"/>
          <w:b/>
          <w:bCs/>
          <w:sz w:val="24"/>
          <w:lang w:eastAsia="en-US"/>
        </w:rPr>
        <w:t xml:space="preserve">supresión de las cuotas de producción y </w:t>
      </w:r>
      <w:r w:rsidRPr="00F3311F">
        <w:rPr>
          <w:rFonts w:asciiTheme="majorHAnsi" w:eastAsiaTheme="minorHAnsi" w:hAnsiTheme="majorHAnsi" w:cstheme="majorHAnsi"/>
          <w:sz w:val="24"/>
          <w:lang w:val="es-ES" w:eastAsia="en-US"/>
        </w:rPr>
        <w:t xml:space="preserve">con el fin de ayudar al sector agrícola de la UE a sobrellevar la volatilidad del mercado y poder interpretar de manera eficaz las señales del mercado, </w:t>
      </w:r>
      <w:r w:rsidRPr="00F3311F">
        <w:rPr>
          <w:rFonts w:asciiTheme="majorHAnsi" w:eastAsiaTheme="minorHAnsi" w:hAnsiTheme="majorHAnsi" w:cstheme="majorHAnsi"/>
          <w:sz w:val="24"/>
          <w:lang w:eastAsia="en-US"/>
        </w:rPr>
        <w:t xml:space="preserve">facilitar el análisis y estadísticas a corto plazo sobre determinados mercados, además de facilitar el análisis y perspectivas para ayudar a los agricultores y transformadores a gestionar sus actividades de manera más eficaz, </w:t>
      </w:r>
      <w:r w:rsidRPr="00F3311F">
        <w:rPr>
          <w:rFonts w:asciiTheme="majorHAnsi" w:eastAsiaTheme="minorHAnsi" w:hAnsiTheme="majorHAnsi" w:cstheme="majorHAnsi"/>
          <w:sz w:val="24"/>
          <w:lang w:val="es-ES" w:eastAsia="en-US"/>
        </w:rPr>
        <w:t>la Comisión Europea estableció la creación de Observatorios de Mercados.</w:t>
      </w:r>
    </w:p>
    <w:p w14:paraId="1F7FE706"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 xml:space="preserve">El primero de ellos fue el de la Leche (en abril de 2014), seguido del Observatorio de Mercado de la Carne (en julio de 2016) que cubre la carne de vacuno y de cerdo, </w:t>
      </w:r>
      <w:r w:rsidRPr="00F3311F">
        <w:rPr>
          <w:rFonts w:asciiTheme="majorHAnsi" w:eastAsiaTheme="minorHAnsi" w:hAnsiTheme="majorHAnsi" w:cstheme="majorHAnsi"/>
          <w:sz w:val="24"/>
          <w:lang w:val="es-ES" w:eastAsia="en-US"/>
        </w:rPr>
        <w:lastRenderedPageBreak/>
        <w:t xml:space="preserve">posteriormente el Observatorio del mercado del azúcar (en julio de 2017) y finalmente su cuarto Observatorio del mercado de cultivos de la UE (en julio 2017). </w:t>
      </w:r>
    </w:p>
    <w:p w14:paraId="08CE8914"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766D8B12"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 xml:space="preserve">Estos Observatorios, son una herramienta de la Comisión Europea, responsables de la difusión de los datos del mercado y de análisis a corto plazo para esos mercados, con la participación de productores, transformadores, representantes comerciales y del comercio al por menor, así como expertos independientes, con la ambición de responder a la creciente necesidad de transparencia a través de una información más detallada y puntual. </w:t>
      </w:r>
    </w:p>
    <w:p w14:paraId="637D2454"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52E78ED8"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 xml:space="preserve">Las partes interesadas contribuyen con su experiencia y conocimiento del mercado, añadiendo un aspecto cualitativo al enfoque cuantitativo de la recogida de datos y del análisis del mercado. El objetivo último es proporcionar a los agentes económicos herramientas cuantitativas y cualitativas para aumentar su conocimiento del mercado y ayudarles en sus decisiones empresariales. </w:t>
      </w:r>
    </w:p>
    <w:p w14:paraId="185FD6A1"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2FB99004"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Los Observatorios también estarán en condiciones de enviar alertas a los servicios de la Comisión, cuando la situación del mercado así lo requiera.</w:t>
      </w:r>
    </w:p>
    <w:p w14:paraId="7CD6C5C3"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566DC1A6"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eastAsia="en-US"/>
        </w:rPr>
        <w:t>Así, estos Observatorios se constituyen como un sitio web con diferentes secciones que proporcionan información periódica y oportuna de los precios, la producción y el comercio, con análisis a corto plazo, todo ello complementado por un Consejo Económico integrado por representantes de diferentes eslabones de la cadena que se reunirán periódicamente.</w:t>
      </w:r>
    </w:p>
    <w:p w14:paraId="4BAAE83A"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769BDAA0" w14:textId="77777777" w:rsidR="00617955" w:rsidRPr="00F3311F" w:rsidRDefault="00617955" w:rsidP="000033C1">
      <w:pPr>
        <w:numPr>
          <w:ilvl w:val="0"/>
          <w:numId w:val="15"/>
        </w:num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Observatorio del mercado de la leche de la UE</w:t>
      </w:r>
    </w:p>
    <w:p w14:paraId="541F18FF"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objetivo del Observatorio del Mercado de Leche de la UE es proporcionar al sector lácteo una mayor transparencia mediante la difusión de datos de mercado y el análisis a corto plazo de manera oportuna.</w:t>
      </w:r>
    </w:p>
    <w:p w14:paraId="480EC5A1" w14:textId="77777777" w:rsidR="00617955" w:rsidRPr="00F3311F" w:rsidRDefault="00BC04DA" w:rsidP="00D4710E">
      <w:pPr>
        <w:spacing w:line="276" w:lineRule="auto"/>
        <w:ind w:left="993"/>
        <w:jc w:val="both"/>
        <w:rPr>
          <w:rFonts w:asciiTheme="majorHAnsi" w:eastAsiaTheme="minorHAnsi" w:hAnsiTheme="majorHAnsi" w:cstheme="majorHAnsi"/>
          <w:sz w:val="24"/>
          <w:lang w:val="es-ES" w:eastAsia="en-US"/>
        </w:rPr>
      </w:pPr>
      <w:hyperlink r:id="rId28" w:history="1">
        <w:r w:rsidR="00617955" w:rsidRPr="00F3311F">
          <w:rPr>
            <w:rStyle w:val="Hipervnculo"/>
            <w:rFonts w:asciiTheme="majorHAnsi" w:eastAsiaTheme="minorHAnsi" w:hAnsiTheme="majorHAnsi" w:cstheme="majorHAnsi"/>
            <w:sz w:val="24"/>
            <w:lang w:val="es-ES" w:eastAsia="en-US"/>
          </w:rPr>
          <w:t>https://ec.europa.eu/agriculture/market-observatory/milk_en</w:t>
        </w:r>
      </w:hyperlink>
    </w:p>
    <w:p w14:paraId="6A044ED1"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p>
    <w:p w14:paraId="42508E5A" w14:textId="77777777" w:rsidR="00617955" w:rsidRPr="00F3311F" w:rsidRDefault="00617955" w:rsidP="000033C1">
      <w:pPr>
        <w:numPr>
          <w:ilvl w:val="0"/>
          <w:numId w:val="15"/>
        </w:num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Observatorio del mercado de carne de la UE</w:t>
      </w:r>
    </w:p>
    <w:p w14:paraId="2771F826"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objetivo del Observatorio del Mercado de la Carne de la UE es proporcionar a los sectores de la carne de porcino y de ternera con mayor transparencia mediante la difusión de datos de mercado y el análisis a corto plazo de manera oportuna.</w:t>
      </w:r>
    </w:p>
    <w:p w14:paraId="5A49A165"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55C1867E"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 xml:space="preserve"> </w:t>
      </w:r>
      <w:hyperlink r:id="rId29" w:history="1">
        <w:r w:rsidRPr="00F3311F">
          <w:rPr>
            <w:rStyle w:val="Hipervnculo"/>
            <w:rFonts w:asciiTheme="majorHAnsi" w:eastAsiaTheme="minorHAnsi" w:hAnsiTheme="majorHAnsi" w:cstheme="majorHAnsi"/>
            <w:sz w:val="24"/>
            <w:lang w:val="es-ES" w:eastAsia="en-US"/>
          </w:rPr>
          <w:t>https://ec.europa.eu/agriculture/market-observatory/meat_en</w:t>
        </w:r>
      </w:hyperlink>
    </w:p>
    <w:p w14:paraId="5B83EFBD"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p>
    <w:p w14:paraId="6F910E7B" w14:textId="77777777" w:rsidR="00617955" w:rsidRPr="00F3311F" w:rsidRDefault="00617955" w:rsidP="000033C1">
      <w:pPr>
        <w:numPr>
          <w:ilvl w:val="0"/>
          <w:numId w:val="15"/>
        </w:num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lastRenderedPageBreak/>
        <w:t>Observatorio del mercado del azúcar de la UE</w:t>
      </w:r>
    </w:p>
    <w:p w14:paraId="2AE5894F"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objetivo del Observatorio del Mercado del Azúcar de la UE es proporcionar al sector del azúcar más transparencia mediante la difusión de datos de mercado y el análisis a corto plazo de manera oportuna.</w:t>
      </w:r>
    </w:p>
    <w:p w14:paraId="42D162A8"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75C2A164" w14:textId="77777777" w:rsidR="00617955" w:rsidRPr="00F3311F" w:rsidRDefault="00BC04DA" w:rsidP="00D4710E">
      <w:pPr>
        <w:spacing w:line="276" w:lineRule="auto"/>
        <w:ind w:left="993"/>
        <w:jc w:val="both"/>
        <w:rPr>
          <w:rFonts w:asciiTheme="majorHAnsi" w:eastAsiaTheme="minorHAnsi" w:hAnsiTheme="majorHAnsi" w:cstheme="majorHAnsi"/>
          <w:sz w:val="24"/>
          <w:lang w:val="es-ES" w:eastAsia="en-US"/>
        </w:rPr>
      </w:pPr>
      <w:hyperlink r:id="rId30" w:history="1">
        <w:r w:rsidR="00617955" w:rsidRPr="00F3311F">
          <w:rPr>
            <w:rStyle w:val="Hipervnculo"/>
            <w:rFonts w:asciiTheme="majorHAnsi" w:eastAsiaTheme="minorHAnsi" w:hAnsiTheme="majorHAnsi" w:cstheme="majorHAnsi"/>
            <w:sz w:val="24"/>
            <w:lang w:val="es-ES" w:eastAsia="en-US"/>
          </w:rPr>
          <w:t>https://ec.europa.eu/agriculture/market-observatory/sugar_en</w:t>
        </w:r>
      </w:hyperlink>
    </w:p>
    <w:p w14:paraId="61B76446"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p>
    <w:p w14:paraId="538EA93F" w14:textId="77777777" w:rsidR="00617955" w:rsidRPr="00F3311F" w:rsidRDefault="00617955" w:rsidP="000033C1">
      <w:pPr>
        <w:numPr>
          <w:ilvl w:val="0"/>
          <w:numId w:val="15"/>
        </w:num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Observatorio del mercado de cultivos de la UE</w:t>
      </w:r>
    </w:p>
    <w:p w14:paraId="22FFAB3B"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objetivo del Observatorio de Mercado de Cultivos de la UE es proporcionar al sector de cereales, semillas oleaginosas y cultivos de proteínas con mayor transparencia mediante la difusión de datos de mercado y el análisis a corto plazo de manera oportuna.</w:t>
      </w:r>
    </w:p>
    <w:p w14:paraId="4558CC00"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7A970678" w14:textId="77777777" w:rsidR="00617955" w:rsidRPr="00F3311F" w:rsidRDefault="00BC04DA" w:rsidP="00D4710E">
      <w:pPr>
        <w:spacing w:line="276" w:lineRule="auto"/>
        <w:ind w:left="993"/>
        <w:jc w:val="both"/>
        <w:rPr>
          <w:rFonts w:asciiTheme="majorHAnsi" w:eastAsiaTheme="minorHAnsi" w:hAnsiTheme="majorHAnsi" w:cstheme="majorHAnsi"/>
          <w:sz w:val="24"/>
          <w:lang w:val="es-ES" w:eastAsia="en-US"/>
        </w:rPr>
      </w:pPr>
      <w:hyperlink r:id="rId31" w:history="1">
        <w:r w:rsidR="00617955" w:rsidRPr="00F3311F">
          <w:rPr>
            <w:rStyle w:val="Hipervnculo"/>
            <w:rFonts w:asciiTheme="majorHAnsi" w:eastAsiaTheme="minorHAnsi" w:hAnsiTheme="majorHAnsi" w:cstheme="majorHAnsi"/>
            <w:sz w:val="24"/>
            <w:lang w:val="es-ES" w:eastAsia="en-US"/>
          </w:rPr>
          <w:t>https://ec.europa.eu/agriculture/market-observatory/crops</w:t>
        </w:r>
      </w:hyperlink>
    </w:p>
    <w:p w14:paraId="0EE02E12"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49542169"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Antes de final del presente 2019, la Comisión Europea tiene previsto lanzar dos nuevos observatorios de mercado. Uno para el vino y otro para el hortofrutícola, con el objetivo de que aporten un mejor análisis y una mayor transparencia a dos sectores que se consideran claves para la agricultura europea.</w:t>
      </w:r>
    </w:p>
    <w:p w14:paraId="3B928DD0"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00574825"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 xml:space="preserve">Así mismo, cabe destacar la existencia del </w:t>
      </w:r>
    </w:p>
    <w:p w14:paraId="2F777647"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15015C89" w14:textId="77777777" w:rsidR="00617955" w:rsidRPr="00F3311F" w:rsidRDefault="00617955" w:rsidP="000033C1">
      <w:pPr>
        <w:numPr>
          <w:ilvl w:val="0"/>
          <w:numId w:val="15"/>
        </w:num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Observatorio Europeo del Mercado de los Productos de la Pesca y de la Acuicultura (EUMOFA)</w:t>
      </w:r>
    </w:p>
    <w:p w14:paraId="7047B45B"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EUMOFA es una herramienta en línea que ha creado la Comisión Europea para mejorar la información sobre el mercado y contribuir a la transparencia y la eficacia del mercado de productos de la pesca y la acuicultura.  Contiene información de interés para productores, transformadores, importadores, comerciantes, consumidores, analistas de mercado y responsables políticos.</w:t>
      </w:r>
    </w:p>
    <w:p w14:paraId="09DEF6EE"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49B3C348"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EUMOFA permite un control directo del volumen, el valor y el precio de los productos de la pesca y la acuicultura desde la primera venta hasta la fase minorista, e incluye las importaciones y exportaciones. Recoge datos de los países de la UE, Noruega, Islandia y las instituciones europeas y se actualiza cada día.</w:t>
      </w:r>
    </w:p>
    <w:p w14:paraId="10576B30" w14:textId="77777777" w:rsidR="00617955" w:rsidRPr="00F3311F" w:rsidRDefault="00BC04DA" w:rsidP="00D4710E">
      <w:pPr>
        <w:spacing w:line="276" w:lineRule="auto"/>
        <w:ind w:left="993"/>
        <w:jc w:val="both"/>
        <w:rPr>
          <w:rFonts w:asciiTheme="majorHAnsi" w:eastAsiaTheme="minorHAnsi" w:hAnsiTheme="majorHAnsi" w:cstheme="majorHAnsi"/>
          <w:sz w:val="24"/>
          <w:lang w:val="es-ES" w:eastAsia="en-US"/>
        </w:rPr>
      </w:pPr>
      <w:hyperlink r:id="rId32" w:history="1">
        <w:r w:rsidR="00617955" w:rsidRPr="00F3311F">
          <w:rPr>
            <w:rStyle w:val="Hipervnculo"/>
            <w:rFonts w:asciiTheme="majorHAnsi" w:eastAsiaTheme="minorHAnsi" w:hAnsiTheme="majorHAnsi" w:cstheme="majorHAnsi"/>
            <w:sz w:val="24"/>
            <w:lang w:val="es-ES" w:eastAsia="en-US"/>
          </w:rPr>
          <w:t>http://www.eumofa.eu/</w:t>
        </w:r>
      </w:hyperlink>
    </w:p>
    <w:p w14:paraId="1B8A1B29" w14:textId="77777777" w:rsidR="00617955" w:rsidRPr="00F3311F" w:rsidRDefault="00617955" w:rsidP="00D4710E">
      <w:pPr>
        <w:spacing w:line="276" w:lineRule="auto"/>
        <w:jc w:val="both"/>
        <w:rPr>
          <w:rFonts w:asciiTheme="majorHAnsi" w:eastAsiaTheme="minorHAnsi" w:hAnsiTheme="majorHAnsi" w:cstheme="majorHAnsi"/>
          <w:sz w:val="24"/>
          <w:lang w:val="es-ES" w:eastAsia="en-US"/>
        </w:rPr>
      </w:pPr>
    </w:p>
    <w:p w14:paraId="15C5EB34" w14:textId="77777777" w:rsidR="00062BC8" w:rsidRDefault="00617955" w:rsidP="00D4710E">
      <w:pPr>
        <w:spacing w:line="276" w:lineRule="auto"/>
        <w:ind w:left="993"/>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lastRenderedPageBreak/>
        <w:t>Cada uno de estos Observatorios, tiene constituido grupos de expertos para cada uno de los mercados, que se reúnen de forma periódica, dos o tres veces al año.</w:t>
      </w:r>
    </w:p>
    <w:p w14:paraId="1C40BFCD" w14:textId="64DCED2D" w:rsidR="00617955" w:rsidRPr="00F3311F" w:rsidRDefault="00617955" w:rsidP="00D4710E">
      <w:pPr>
        <w:spacing w:line="276" w:lineRule="auto"/>
        <w:ind w:left="993"/>
        <w:jc w:val="both"/>
        <w:rPr>
          <w:rFonts w:asciiTheme="majorHAnsi" w:eastAsiaTheme="minorHAnsi" w:hAnsiTheme="majorHAnsi" w:cstheme="majorHAnsi"/>
          <w:sz w:val="24"/>
          <w:u w:val="single"/>
          <w:lang w:val="es-ES" w:eastAsia="en-US"/>
        </w:rPr>
      </w:pPr>
      <w:r w:rsidRPr="00F3311F">
        <w:rPr>
          <w:rFonts w:asciiTheme="majorHAnsi" w:eastAsiaTheme="minorHAnsi" w:hAnsiTheme="majorHAnsi" w:cstheme="majorHAnsi"/>
          <w:sz w:val="24"/>
          <w:lang w:val="es-ES" w:eastAsia="en-US"/>
        </w:rPr>
        <w:t xml:space="preserve"> </w:t>
      </w:r>
      <w:hyperlink r:id="rId33" w:history="1">
        <w:r w:rsidRPr="00F3311F">
          <w:rPr>
            <w:rStyle w:val="Hipervnculo"/>
            <w:rFonts w:asciiTheme="majorHAnsi" w:eastAsiaTheme="minorHAnsi" w:hAnsiTheme="majorHAnsi" w:cstheme="majorHAnsi"/>
            <w:sz w:val="24"/>
            <w:lang w:val="es-ES" w:eastAsia="en-US"/>
          </w:rPr>
          <w:t>https://ec.europa.eu/agriculture/market-observatory/meat/reports/meeting-reports_en</w:t>
        </w:r>
      </w:hyperlink>
    </w:p>
    <w:p w14:paraId="165F389F" w14:textId="77777777" w:rsidR="00617955" w:rsidRPr="00F3311F" w:rsidRDefault="00617955" w:rsidP="00D4710E">
      <w:pPr>
        <w:spacing w:line="276" w:lineRule="auto"/>
        <w:ind w:left="993"/>
        <w:jc w:val="both"/>
        <w:rPr>
          <w:rFonts w:asciiTheme="majorHAnsi" w:eastAsiaTheme="minorHAnsi" w:hAnsiTheme="majorHAnsi" w:cstheme="majorHAnsi"/>
          <w:sz w:val="24"/>
          <w:lang w:val="es-ES" w:eastAsia="en-US"/>
        </w:rPr>
      </w:pPr>
    </w:p>
    <w:p w14:paraId="4B4554DD" w14:textId="6B727E0A" w:rsidR="00D80CC7" w:rsidRPr="000F281B" w:rsidRDefault="00BC04DA" w:rsidP="00D4710E">
      <w:pPr>
        <w:spacing w:line="276" w:lineRule="auto"/>
        <w:jc w:val="both"/>
        <w:rPr>
          <w:rFonts w:asciiTheme="majorHAnsi" w:hAnsiTheme="majorHAnsi" w:cstheme="majorHAnsi"/>
          <w:color w:val="0000FF"/>
          <w:sz w:val="24"/>
          <w:u w:val="single"/>
        </w:rPr>
      </w:pPr>
      <w:hyperlink r:id="rId34" w:history="1">
        <w:r w:rsidR="00523423" w:rsidRPr="000F281B">
          <w:rPr>
            <w:rFonts w:asciiTheme="majorHAnsi" w:hAnsiTheme="majorHAnsi" w:cstheme="majorHAnsi"/>
            <w:color w:val="0000FF"/>
            <w:sz w:val="24"/>
            <w:u w:val="single"/>
          </w:rPr>
          <w:t>https://ec.europa.eu/eurostat/cache/infographs/foodprice/</w:t>
        </w:r>
      </w:hyperlink>
    </w:p>
    <w:p w14:paraId="591C2EBB" w14:textId="77777777" w:rsidR="001572E7" w:rsidRPr="00F3311F" w:rsidRDefault="001572E7" w:rsidP="00D4710E">
      <w:pPr>
        <w:spacing w:line="276" w:lineRule="auto"/>
        <w:jc w:val="both"/>
        <w:rPr>
          <w:rFonts w:asciiTheme="majorHAnsi" w:eastAsiaTheme="minorHAnsi" w:hAnsiTheme="majorHAnsi" w:cstheme="majorHAnsi"/>
          <w:szCs w:val="18"/>
          <w:lang w:val="es-ES" w:eastAsia="en-US"/>
        </w:rPr>
      </w:pPr>
    </w:p>
    <w:p w14:paraId="3DD56ECA" w14:textId="6FBF5B62" w:rsidR="00D80CC7" w:rsidRPr="001A19E6" w:rsidRDefault="00D80CC7" w:rsidP="000033C1">
      <w:pPr>
        <w:pStyle w:val="Ttulo2"/>
        <w:widowControl/>
        <w:numPr>
          <w:ilvl w:val="2"/>
          <w:numId w:val="4"/>
        </w:numPr>
        <w:spacing w:before="40" w:line="276" w:lineRule="auto"/>
        <w:ind w:left="1843"/>
        <w:rPr>
          <w:rFonts w:asciiTheme="majorHAnsi" w:hAnsiTheme="majorHAnsi" w:cstheme="majorHAnsi"/>
          <w:color w:val="FF0000"/>
          <w:sz w:val="20"/>
          <w:szCs w:val="18"/>
        </w:rPr>
      </w:pPr>
      <w:r w:rsidRPr="00F3311F">
        <w:rPr>
          <w:rFonts w:asciiTheme="majorHAnsi" w:hAnsiTheme="majorHAnsi" w:cstheme="majorHAnsi"/>
          <w:sz w:val="20"/>
          <w:szCs w:val="18"/>
        </w:rPr>
        <w:t xml:space="preserve"> </w:t>
      </w:r>
      <w:bookmarkStart w:id="73" w:name="_Toc14695498"/>
      <w:r w:rsidRPr="001A19E6">
        <w:rPr>
          <w:rFonts w:asciiTheme="majorHAnsi" w:hAnsiTheme="majorHAnsi" w:cstheme="majorHAnsi"/>
          <w:sz w:val="28"/>
        </w:rPr>
        <w:t>Nuevas formas de comercialización</w:t>
      </w:r>
      <w:bookmarkEnd w:id="73"/>
      <w:r w:rsidRPr="001A19E6">
        <w:rPr>
          <w:rFonts w:asciiTheme="majorHAnsi" w:hAnsiTheme="majorHAnsi" w:cstheme="majorHAnsi"/>
          <w:sz w:val="20"/>
          <w:szCs w:val="18"/>
        </w:rPr>
        <w:t xml:space="preserve"> </w:t>
      </w:r>
    </w:p>
    <w:p w14:paraId="3867238B" w14:textId="77777777" w:rsidR="006F2C3C" w:rsidRPr="00E67691" w:rsidRDefault="006F2C3C" w:rsidP="00D4710E">
      <w:pPr>
        <w:spacing w:line="276" w:lineRule="auto"/>
        <w:rPr>
          <w:highlight w:val="cyan"/>
        </w:rPr>
      </w:pPr>
    </w:p>
    <w:p w14:paraId="40080EB4" w14:textId="64CE309B" w:rsidR="00D80CC7" w:rsidRDefault="00D80CC7" w:rsidP="00D4710E">
      <w:pPr>
        <w:pStyle w:val="Ttulo2"/>
        <w:keepLines/>
        <w:widowControl/>
        <w:spacing w:before="40" w:line="276" w:lineRule="auto"/>
        <w:ind w:firstLine="595"/>
        <w:rPr>
          <w:rFonts w:asciiTheme="majorHAnsi" w:eastAsiaTheme="minorHAnsi" w:hAnsiTheme="majorHAnsi" w:cstheme="majorHAnsi"/>
          <w:b w:val="0"/>
          <w:szCs w:val="22"/>
          <w:lang w:val="es-ES" w:eastAsia="en-US"/>
        </w:rPr>
      </w:pPr>
      <w:bookmarkStart w:id="74" w:name="_Toc14695499"/>
      <w:r w:rsidRPr="00F3311F">
        <w:rPr>
          <w:rFonts w:asciiTheme="majorHAnsi" w:hAnsiTheme="majorHAnsi" w:cstheme="majorHAnsi"/>
          <w:sz w:val="20"/>
          <w:szCs w:val="18"/>
        </w:rPr>
        <w:t xml:space="preserve">- </w:t>
      </w:r>
      <w:r w:rsidR="007E6931">
        <w:rPr>
          <w:rFonts w:asciiTheme="majorHAnsi" w:eastAsiaTheme="minorHAnsi" w:hAnsiTheme="majorHAnsi" w:cstheme="majorHAnsi"/>
          <w:b w:val="0"/>
          <w:szCs w:val="22"/>
          <w:lang w:val="es-ES" w:eastAsia="en-US"/>
        </w:rPr>
        <w:t>Fomento de la producción local-c</w:t>
      </w:r>
      <w:r w:rsidRPr="00F3311F">
        <w:rPr>
          <w:rFonts w:asciiTheme="majorHAnsi" w:eastAsiaTheme="minorHAnsi" w:hAnsiTheme="majorHAnsi" w:cstheme="majorHAnsi"/>
          <w:b w:val="0"/>
          <w:szCs w:val="22"/>
          <w:lang w:val="es-ES" w:eastAsia="en-US"/>
        </w:rPr>
        <w:t>anales cortos de comercialización</w:t>
      </w:r>
      <w:bookmarkEnd w:id="74"/>
      <w:r w:rsidRPr="00F3311F">
        <w:rPr>
          <w:rFonts w:asciiTheme="majorHAnsi" w:eastAsiaTheme="minorHAnsi" w:hAnsiTheme="majorHAnsi" w:cstheme="majorHAnsi"/>
          <w:b w:val="0"/>
          <w:szCs w:val="22"/>
          <w:lang w:val="es-ES" w:eastAsia="en-US"/>
        </w:rPr>
        <w:t xml:space="preserve"> </w:t>
      </w:r>
    </w:p>
    <w:p w14:paraId="2D749BE8" w14:textId="77777777" w:rsidR="00D65D3E" w:rsidRDefault="00D65D3E" w:rsidP="00D4710E">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t>Desde 2013, se ha producido un desarrollo importante de todo lo concerniente a los Canales Cortos de Comercialización. Ya en ese mismo año se empezaron a mostrar movimientos de análisis y recomendaciones fomentando estos canales, en línea con la Comisión Europea</w:t>
      </w:r>
      <w:r w:rsidRPr="00F3311F">
        <w:rPr>
          <w:rFonts w:asciiTheme="majorHAnsi" w:hAnsiTheme="majorHAnsi" w:cstheme="majorHAnsi"/>
          <w:sz w:val="24"/>
          <w:vertAlign w:val="superscript"/>
          <w:lang w:val="es-ES" w:eastAsia="en-US"/>
        </w:rPr>
        <w:footnoteReference w:id="11"/>
      </w:r>
      <w:r w:rsidRPr="00F3311F">
        <w:rPr>
          <w:rFonts w:asciiTheme="majorHAnsi" w:hAnsiTheme="majorHAnsi" w:cstheme="majorHAnsi"/>
          <w:sz w:val="24"/>
          <w:lang w:val="es-ES" w:eastAsia="en-US"/>
        </w:rPr>
        <w:t>. En el período transcurrido, es notable la tendencia al crecimiento de la venta directa, llegando a alcanzar, en España, en 2017, una cifra de negocio de más de 773,6 millones de euros, con más de 5,31 millones de pedidos</w:t>
      </w:r>
      <w:r w:rsidRPr="00F3311F">
        <w:rPr>
          <w:rFonts w:asciiTheme="majorHAnsi" w:hAnsiTheme="majorHAnsi" w:cstheme="majorHAnsi"/>
          <w:sz w:val="24"/>
          <w:vertAlign w:val="superscript"/>
          <w:lang w:val="es-ES" w:eastAsia="en-US"/>
        </w:rPr>
        <w:footnoteReference w:id="12"/>
      </w:r>
      <w:r w:rsidRPr="00F3311F">
        <w:rPr>
          <w:rFonts w:asciiTheme="majorHAnsi" w:hAnsiTheme="majorHAnsi" w:cstheme="majorHAnsi"/>
          <w:sz w:val="24"/>
          <w:lang w:val="es-ES" w:eastAsia="en-US"/>
        </w:rPr>
        <w:t xml:space="preserve">. </w:t>
      </w:r>
    </w:p>
    <w:p w14:paraId="61DE2DEC" w14:textId="77777777" w:rsidR="0012213F" w:rsidRPr="00F3311F" w:rsidRDefault="0012213F" w:rsidP="00D4710E">
      <w:pPr>
        <w:spacing w:line="276" w:lineRule="auto"/>
        <w:jc w:val="both"/>
        <w:rPr>
          <w:rFonts w:asciiTheme="majorHAnsi" w:hAnsiTheme="majorHAnsi" w:cstheme="majorHAnsi"/>
          <w:sz w:val="24"/>
          <w:lang w:val="es-ES" w:eastAsia="en-US"/>
        </w:rPr>
      </w:pPr>
    </w:p>
    <w:p w14:paraId="6D8DEB18" w14:textId="77777777" w:rsidR="00D65D3E" w:rsidRDefault="00D65D3E" w:rsidP="00D4710E">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t>Si bien a lo largo de las últimas décadas se produjo un distanciamiento de los productores a los consumidores, en los últimos años se ha ido generando una conciencia social en favor del valor añadido de los productos de ámbito local</w:t>
      </w:r>
      <w:r w:rsidRPr="00F3311F">
        <w:rPr>
          <w:rFonts w:asciiTheme="majorHAnsi" w:hAnsiTheme="majorHAnsi" w:cstheme="majorHAnsi"/>
          <w:sz w:val="24"/>
          <w:vertAlign w:val="superscript"/>
          <w:lang w:val="es-ES" w:eastAsia="en-US"/>
        </w:rPr>
        <w:footnoteReference w:id="13"/>
      </w:r>
      <w:r w:rsidRPr="00F3311F">
        <w:rPr>
          <w:rFonts w:asciiTheme="majorHAnsi" w:hAnsiTheme="majorHAnsi" w:cstheme="majorHAnsi"/>
          <w:sz w:val="24"/>
          <w:lang w:val="es-ES" w:eastAsia="en-US"/>
        </w:rPr>
        <w:t>, lo que ha provocado que los productores se hayan decantado, en su elección, por la producción a través de métodos tradicionales.</w:t>
      </w:r>
    </w:p>
    <w:p w14:paraId="7E8D5D3F" w14:textId="77777777" w:rsidR="0012213F" w:rsidRPr="00F3311F" w:rsidRDefault="0012213F" w:rsidP="00D4710E">
      <w:pPr>
        <w:spacing w:line="276" w:lineRule="auto"/>
        <w:jc w:val="both"/>
        <w:rPr>
          <w:rFonts w:asciiTheme="majorHAnsi" w:hAnsiTheme="majorHAnsi" w:cstheme="majorHAnsi"/>
          <w:sz w:val="24"/>
          <w:lang w:val="es-ES" w:eastAsia="en-US"/>
        </w:rPr>
      </w:pPr>
    </w:p>
    <w:p w14:paraId="7880F36C" w14:textId="77777777" w:rsidR="00D65D3E" w:rsidRDefault="00D65D3E" w:rsidP="00D4710E">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t>Entre los factores que configuran el valor añadido a la venta directa, podemos destacar, como ya sabemos, el producto diferencial (producción ecológica), servicio personalizado, pues en estos canales la relación de confianza entre consumidor y productor aumenta, por lo que el trato y la atención a los clientes suelen ser más personales, además de una mejora, en algunas ocasiones, de la experiencia de compra</w:t>
      </w:r>
      <w:r w:rsidRPr="00F3311F">
        <w:rPr>
          <w:rFonts w:asciiTheme="majorHAnsi" w:hAnsiTheme="majorHAnsi" w:cstheme="majorHAnsi"/>
          <w:sz w:val="24"/>
          <w:vertAlign w:val="superscript"/>
          <w:lang w:val="es-ES" w:eastAsia="en-US"/>
        </w:rPr>
        <w:footnoteReference w:id="14"/>
      </w:r>
      <w:r w:rsidRPr="00F3311F">
        <w:rPr>
          <w:rFonts w:asciiTheme="majorHAnsi" w:hAnsiTheme="majorHAnsi" w:cstheme="majorHAnsi"/>
          <w:sz w:val="24"/>
          <w:lang w:val="es-ES" w:eastAsia="en-US"/>
        </w:rPr>
        <w:t xml:space="preserve">. </w:t>
      </w:r>
    </w:p>
    <w:p w14:paraId="103F2749" w14:textId="77777777" w:rsidR="0012213F" w:rsidRPr="00F3311F" w:rsidRDefault="0012213F" w:rsidP="00D4710E">
      <w:pPr>
        <w:spacing w:line="276" w:lineRule="auto"/>
        <w:jc w:val="both"/>
        <w:rPr>
          <w:rFonts w:asciiTheme="majorHAnsi" w:hAnsiTheme="majorHAnsi" w:cstheme="majorHAnsi"/>
          <w:sz w:val="24"/>
          <w:lang w:val="es-ES" w:eastAsia="en-US"/>
        </w:rPr>
      </w:pPr>
    </w:p>
    <w:p w14:paraId="0607723F" w14:textId="77777777" w:rsidR="00D65D3E" w:rsidRDefault="00D65D3E" w:rsidP="00D4710E">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lastRenderedPageBreak/>
        <w:t>La calidad viene siendo, con mayor frecuencia, uno de los factores más importantes a tener en cuenta en la adquisición de alimentos. Por lo que los canales de distribución que satisfacen estas necesidades adquieren cada vez más importancia</w:t>
      </w:r>
      <w:r w:rsidRPr="00F3311F">
        <w:rPr>
          <w:rFonts w:asciiTheme="majorHAnsi" w:hAnsiTheme="majorHAnsi" w:cstheme="majorHAnsi"/>
          <w:sz w:val="24"/>
          <w:vertAlign w:val="superscript"/>
          <w:lang w:val="es-ES" w:eastAsia="en-US"/>
        </w:rPr>
        <w:footnoteReference w:id="15"/>
      </w:r>
    </w:p>
    <w:p w14:paraId="61D2D67D" w14:textId="77777777" w:rsidR="0012213F" w:rsidRPr="00F3311F" w:rsidRDefault="0012213F" w:rsidP="00D4710E">
      <w:pPr>
        <w:spacing w:line="276" w:lineRule="auto"/>
        <w:jc w:val="both"/>
        <w:rPr>
          <w:rFonts w:asciiTheme="majorHAnsi" w:hAnsiTheme="majorHAnsi" w:cstheme="majorHAnsi"/>
          <w:sz w:val="24"/>
          <w:lang w:val="es-ES" w:eastAsia="en-US"/>
        </w:rPr>
      </w:pPr>
    </w:p>
    <w:p w14:paraId="024CF0CF" w14:textId="4AFED2EF" w:rsidR="00D65D3E" w:rsidRDefault="00D65D3E" w:rsidP="00D4710E">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t xml:space="preserve">Generalmente, los productos de venta local provenientes de pequeñas explotaciones, se comercializan a través de estos canales. Si bien la situación actual en España ha venido orientada al desarrollo de los canales cortos debido a la consideración de los grandes beneficios que estos aportan, este desarrollo no está exento de ciertas limitaciones, pues queda todavía un largo camino por recorrer en la eliminación de las barreras a las </w:t>
      </w:r>
      <w:r w:rsidR="001572E7">
        <w:rPr>
          <w:rFonts w:asciiTheme="majorHAnsi" w:hAnsiTheme="majorHAnsi" w:cstheme="majorHAnsi"/>
          <w:sz w:val="24"/>
          <w:lang w:val="es-ES" w:eastAsia="en-US"/>
        </w:rPr>
        <w:t>que estos se encuentran sujetos</w:t>
      </w:r>
      <w:r w:rsidR="0012213F">
        <w:rPr>
          <w:rFonts w:asciiTheme="majorHAnsi" w:hAnsiTheme="majorHAnsi" w:cstheme="majorHAnsi"/>
          <w:sz w:val="24"/>
          <w:lang w:val="es-ES" w:eastAsia="en-US"/>
        </w:rPr>
        <w:t xml:space="preserve">. </w:t>
      </w:r>
    </w:p>
    <w:p w14:paraId="2075E724" w14:textId="77777777" w:rsidR="001572E7" w:rsidRDefault="001572E7" w:rsidP="00D4710E">
      <w:pPr>
        <w:spacing w:line="276" w:lineRule="auto"/>
        <w:jc w:val="both"/>
        <w:rPr>
          <w:rFonts w:asciiTheme="majorHAnsi" w:hAnsiTheme="majorHAnsi" w:cstheme="majorHAnsi"/>
          <w:sz w:val="24"/>
          <w:lang w:val="es-ES" w:eastAsia="en-US"/>
        </w:rPr>
      </w:pPr>
    </w:p>
    <w:p w14:paraId="3DA1FF00" w14:textId="2CEEE6A7" w:rsidR="001572E7" w:rsidRDefault="0012213F" w:rsidP="00D4710E">
      <w:pPr>
        <w:spacing w:line="276" w:lineRule="auto"/>
        <w:jc w:val="both"/>
        <w:rPr>
          <w:rFonts w:asciiTheme="majorHAnsi" w:hAnsiTheme="majorHAnsi" w:cstheme="majorHAnsi"/>
          <w:sz w:val="24"/>
        </w:rPr>
      </w:pPr>
      <w:r>
        <w:rPr>
          <w:rFonts w:asciiTheme="majorHAnsi" w:hAnsiTheme="majorHAnsi" w:cstheme="majorHAnsi"/>
          <w:sz w:val="24"/>
        </w:rPr>
        <w:t>Las agrupaciones comerciales o centros de comercialización, son formas de agrupación de la oferta comercial a nivel más bien regional que facilitan la comercialización de productos de proximidad</w:t>
      </w:r>
    </w:p>
    <w:p w14:paraId="6413679D" w14:textId="77777777" w:rsidR="0012213F" w:rsidRDefault="0012213F" w:rsidP="00D4710E">
      <w:pPr>
        <w:spacing w:line="276" w:lineRule="auto"/>
        <w:jc w:val="both"/>
        <w:rPr>
          <w:rFonts w:asciiTheme="majorHAnsi" w:hAnsiTheme="majorHAnsi" w:cstheme="majorHAnsi"/>
          <w:sz w:val="24"/>
          <w:lang w:val="es-ES" w:eastAsia="en-US"/>
        </w:rPr>
      </w:pPr>
    </w:p>
    <w:p w14:paraId="5F704032" w14:textId="394BB188" w:rsidR="00D65D3E" w:rsidRDefault="001572E7" w:rsidP="00D4710E">
      <w:pPr>
        <w:spacing w:line="276" w:lineRule="auto"/>
        <w:jc w:val="both"/>
        <w:rPr>
          <w:rFonts w:asciiTheme="majorHAnsi" w:hAnsiTheme="majorHAnsi" w:cstheme="majorHAnsi"/>
          <w:sz w:val="24"/>
          <w:lang w:val="es-ES" w:eastAsia="en-US"/>
        </w:rPr>
      </w:pPr>
      <w:r>
        <w:rPr>
          <w:rFonts w:asciiTheme="majorHAnsi" w:hAnsiTheme="majorHAnsi" w:cstheme="majorHAnsi"/>
          <w:sz w:val="24"/>
          <w:lang w:val="es-ES" w:eastAsia="en-US"/>
        </w:rPr>
        <w:t>L</w:t>
      </w:r>
      <w:r w:rsidR="00D65D3E" w:rsidRPr="00F3311F">
        <w:rPr>
          <w:rFonts w:asciiTheme="majorHAnsi" w:hAnsiTheme="majorHAnsi" w:cstheme="majorHAnsi"/>
          <w:sz w:val="24"/>
          <w:lang w:val="es-ES" w:eastAsia="en-US"/>
        </w:rPr>
        <w:t xml:space="preserve">os canales cortos de comercialización son una práctica en alza, cada vez más común entre los productores y consumidores, tanto a nivel comunitario como nivel estatal. La Unión Europea, a través de los instrumentos de los que disponen sus distintos órganos, ha puesto en funcionamiento un mecanismo para acercar estas tendencias a todos los ciudadanos de la unión. </w:t>
      </w:r>
    </w:p>
    <w:p w14:paraId="577ACECC" w14:textId="77777777" w:rsidR="0012213F" w:rsidRPr="00F3311F" w:rsidRDefault="0012213F" w:rsidP="00D4710E">
      <w:pPr>
        <w:spacing w:line="276" w:lineRule="auto"/>
        <w:jc w:val="both"/>
        <w:rPr>
          <w:rFonts w:asciiTheme="majorHAnsi" w:hAnsiTheme="majorHAnsi" w:cstheme="majorHAnsi"/>
          <w:sz w:val="24"/>
          <w:lang w:val="es-ES" w:eastAsia="en-US"/>
        </w:rPr>
      </w:pPr>
    </w:p>
    <w:p w14:paraId="27E68DF1" w14:textId="7AF1312F" w:rsidR="001572E7" w:rsidRDefault="00D65D3E" w:rsidP="00A53C08">
      <w:pPr>
        <w:spacing w:line="276" w:lineRule="auto"/>
        <w:jc w:val="both"/>
        <w:rPr>
          <w:rFonts w:asciiTheme="majorHAnsi" w:hAnsiTheme="majorHAnsi" w:cstheme="majorHAnsi"/>
          <w:sz w:val="24"/>
          <w:lang w:val="es-ES" w:eastAsia="en-US"/>
        </w:rPr>
      </w:pPr>
      <w:r w:rsidRPr="00F3311F">
        <w:rPr>
          <w:rFonts w:asciiTheme="majorHAnsi" w:hAnsiTheme="majorHAnsi" w:cstheme="majorHAnsi"/>
          <w:sz w:val="24"/>
          <w:lang w:val="es-ES" w:eastAsia="en-US"/>
        </w:rPr>
        <w:t>Uno de estos instrumentos es el «</w:t>
      </w:r>
      <w:proofErr w:type="spellStart"/>
      <w:r w:rsidRPr="00F3311F">
        <w:rPr>
          <w:rFonts w:asciiTheme="majorHAnsi" w:hAnsiTheme="majorHAnsi" w:cstheme="majorHAnsi"/>
          <w:sz w:val="24"/>
          <w:lang w:val="es-ES" w:eastAsia="en-US"/>
        </w:rPr>
        <w:t>European</w:t>
      </w:r>
      <w:proofErr w:type="spellEnd"/>
      <w:r w:rsidRPr="00F3311F">
        <w:rPr>
          <w:rFonts w:asciiTheme="majorHAnsi" w:hAnsiTheme="majorHAnsi" w:cstheme="majorHAnsi"/>
          <w:sz w:val="24"/>
          <w:lang w:val="es-ES" w:eastAsia="en-US"/>
        </w:rPr>
        <w:t xml:space="preserve"> </w:t>
      </w:r>
      <w:proofErr w:type="spellStart"/>
      <w:r w:rsidRPr="00F3311F">
        <w:rPr>
          <w:rFonts w:asciiTheme="majorHAnsi" w:hAnsiTheme="majorHAnsi" w:cstheme="majorHAnsi"/>
          <w:sz w:val="24"/>
          <w:lang w:val="es-ES" w:eastAsia="en-US"/>
        </w:rPr>
        <w:t>Innovation</w:t>
      </w:r>
      <w:proofErr w:type="spellEnd"/>
      <w:r w:rsidRPr="00F3311F">
        <w:rPr>
          <w:rFonts w:asciiTheme="majorHAnsi" w:hAnsiTheme="majorHAnsi" w:cstheme="majorHAnsi"/>
          <w:sz w:val="24"/>
          <w:lang w:val="es-ES" w:eastAsia="en-US"/>
        </w:rPr>
        <w:t xml:space="preserve"> </w:t>
      </w:r>
      <w:proofErr w:type="spellStart"/>
      <w:r w:rsidRPr="00F3311F">
        <w:rPr>
          <w:rFonts w:asciiTheme="majorHAnsi" w:hAnsiTheme="majorHAnsi" w:cstheme="majorHAnsi"/>
          <w:sz w:val="24"/>
          <w:lang w:val="es-ES" w:eastAsia="en-US"/>
        </w:rPr>
        <w:t>Partnership</w:t>
      </w:r>
      <w:proofErr w:type="spellEnd"/>
      <w:r w:rsidRPr="00F3311F">
        <w:rPr>
          <w:rFonts w:asciiTheme="majorHAnsi" w:hAnsiTheme="majorHAnsi" w:cstheme="majorHAnsi"/>
          <w:sz w:val="24"/>
          <w:lang w:val="es-ES" w:eastAsia="en-US"/>
        </w:rPr>
        <w:t xml:space="preserve"> </w:t>
      </w:r>
      <w:proofErr w:type="spellStart"/>
      <w:r w:rsidRPr="00F3311F">
        <w:rPr>
          <w:rFonts w:asciiTheme="majorHAnsi" w:hAnsiTheme="majorHAnsi" w:cstheme="majorHAnsi"/>
          <w:sz w:val="24"/>
          <w:lang w:val="es-ES" w:eastAsia="en-US"/>
        </w:rPr>
        <w:t>on</w:t>
      </w:r>
      <w:proofErr w:type="spellEnd"/>
      <w:r w:rsidRPr="00F3311F">
        <w:rPr>
          <w:rFonts w:asciiTheme="majorHAnsi" w:hAnsiTheme="majorHAnsi" w:cstheme="majorHAnsi"/>
          <w:sz w:val="24"/>
          <w:lang w:val="es-ES" w:eastAsia="en-US"/>
        </w:rPr>
        <w:t xml:space="preserve"> </w:t>
      </w:r>
      <w:proofErr w:type="spellStart"/>
      <w:r w:rsidRPr="00F3311F">
        <w:rPr>
          <w:rFonts w:asciiTheme="majorHAnsi" w:hAnsiTheme="majorHAnsi" w:cstheme="majorHAnsi"/>
          <w:sz w:val="24"/>
          <w:lang w:val="es-ES" w:eastAsia="en-US"/>
        </w:rPr>
        <w:t>Agricultural</w:t>
      </w:r>
      <w:proofErr w:type="spellEnd"/>
      <w:r w:rsidRPr="00F3311F">
        <w:rPr>
          <w:rFonts w:asciiTheme="majorHAnsi" w:hAnsiTheme="majorHAnsi" w:cstheme="majorHAnsi"/>
          <w:sz w:val="24"/>
          <w:lang w:val="es-ES" w:eastAsia="en-US"/>
        </w:rPr>
        <w:t xml:space="preserve"> </w:t>
      </w:r>
      <w:proofErr w:type="spellStart"/>
      <w:r w:rsidRPr="00F3311F">
        <w:rPr>
          <w:rFonts w:asciiTheme="majorHAnsi" w:hAnsiTheme="majorHAnsi" w:cstheme="majorHAnsi"/>
          <w:sz w:val="24"/>
          <w:lang w:val="es-ES" w:eastAsia="en-US"/>
        </w:rPr>
        <w:t>Productivity</w:t>
      </w:r>
      <w:proofErr w:type="spellEnd"/>
      <w:r w:rsidRPr="00F3311F">
        <w:rPr>
          <w:rFonts w:asciiTheme="majorHAnsi" w:hAnsiTheme="majorHAnsi" w:cstheme="majorHAnsi"/>
          <w:sz w:val="24"/>
          <w:lang w:val="es-ES" w:eastAsia="en-US"/>
        </w:rPr>
        <w:t xml:space="preserve"> and </w:t>
      </w:r>
      <w:proofErr w:type="spellStart"/>
      <w:r w:rsidRPr="00F3311F">
        <w:rPr>
          <w:rFonts w:asciiTheme="majorHAnsi" w:hAnsiTheme="majorHAnsi" w:cstheme="majorHAnsi"/>
          <w:sz w:val="24"/>
          <w:lang w:val="es-ES" w:eastAsia="en-US"/>
        </w:rPr>
        <w:t>Sustainability</w:t>
      </w:r>
      <w:proofErr w:type="spellEnd"/>
      <w:r w:rsidRPr="00F3311F">
        <w:rPr>
          <w:rFonts w:asciiTheme="majorHAnsi" w:hAnsiTheme="majorHAnsi" w:cstheme="majorHAnsi"/>
          <w:sz w:val="24"/>
          <w:lang w:val="es-ES" w:eastAsia="en-US"/>
        </w:rPr>
        <w:t>» (EIP-</w:t>
      </w:r>
      <w:proofErr w:type="spellStart"/>
      <w:r w:rsidRPr="00F3311F">
        <w:rPr>
          <w:rFonts w:asciiTheme="majorHAnsi" w:hAnsiTheme="majorHAnsi" w:cstheme="majorHAnsi"/>
          <w:sz w:val="24"/>
          <w:lang w:val="es-ES" w:eastAsia="en-US"/>
        </w:rPr>
        <w:t>Agri</w:t>
      </w:r>
      <w:proofErr w:type="spellEnd"/>
      <w:r w:rsidRPr="00F3311F">
        <w:rPr>
          <w:rFonts w:asciiTheme="majorHAnsi" w:hAnsiTheme="majorHAnsi" w:cstheme="majorHAnsi"/>
          <w:sz w:val="24"/>
          <w:lang w:val="es-ES" w:eastAsia="en-US"/>
        </w:rPr>
        <w:t>) a través del cual, la Comisión Europea pretende mejorar la competencia y sostenibilidad agraria. Para ello dispone de grupos de trabajo, compuestos por expertos en diferentes materias concretas, que comparten conocimientos y experiencias dando lugar a distintas publicaciones. Cada grupo trabaja en las soluciones u oportunidades respecto a los temas a tratar, aportando una visión práctica de las mismas. Intentan resolver problemas del sector, aportando soluciones obtenidas de las reuniones en las que se discuten los asuntos a tratar. Entre sus objetivos, es de especial importancia y transcendencia para este informe el de identificar y analizar los diferentes modelos de cadenas de suministro existentes en Europa.</w:t>
      </w:r>
    </w:p>
    <w:p w14:paraId="692D7360" w14:textId="77777777" w:rsidR="00A53C08" w:rsidRPr="00F3311F" w:rsidRDefault="00A53C08" w:rsidP="00A53C08">
      <w:pPr>
        <w:spacing w:line="276" w:lineRule="auto"/>
        <w:jc w:val="both"/>
        <w:rPr>
          <w:rFonts w:asciiTheme="majorHAnsi" w:hAnsiTheme="majorHAnsi" w:cstheme="majorHAnsi"/>
          <w:sz w:val="24"/>
          <w:lang w:val="es-ES" w:eastAsia="en-US"/>
        </w:rPr>
      </w:pPr>
      <w:bookmarkStart w:id="75" w:name="_GoBack"/>
      <w:bookmarkEnd w:id="75"/>
    </w:p>
    <w:p w14:paraId="71F5EC12" w14:textId="5991B947" w:rsidR="00D80CC7" w:rsidRDefault="00D80CC7" w:rsidP="00D4710E">
      <w:pPr>
        <w:spacing w:line="276" w:lineRule="auto"/>
        <w:jc w:val="both"/>
        <w:rPr>
          <w:rFonts w:asciiTheme="majorHAnsi" w:eastAsiaTheme="minorHAnsi" w:hAnsiTheme="majorHAnsi" w:cstheme="majorHAnsi"/>
          <w:sz w:val="24"/>
          <w:szCs w:val="22"/>
          <w:lang w:val="es-ES" w:eastAsia="en-US"/>
        </w:rPr>
      </w:pPr>
      <w:r w:rsidRPr="00F3311F">
        <w:rPr>
          <w:rFonts w:asciiTheme="majorHAnsi" w:hAnsiTheme="majorHAnsi" w:cstheme="majorHAnsi"/>
          <w:sz w:val="24"/>
          <w:szCs w:val="22"/>
          <w:lang w:val="es-ES" w:eastAsia="en-US"/>
        </w:rPr>
        <w:tab/>
      </w:r>
      <w:r w:rsidRPr="001A19E6">
        <w:rPr>
          <w:rFonts w:asciiTheme="majorHAnsi" w:hAnsiTheme="majorHAnsi" w:cstheme="majorHAnsi"/>
          <w:sz w:val="24"/>
          <w:szCs w:val="22"/>
          <w:lang w:val="es-ES" w:eastAsia="en-US"/>
        </w:rPr>
        <w:t xml:space="preserve">- </w:t>
      </w:r>
      <w:r w:rsidRPr="001A19E6">
        <w:rPr>
          <w:rFonts w:asciiTheme="majorHAnsi" w:eastAsiaTheme="minorHAnsi" w:hAnsiTheme="majorHAnsi" w:cstheme="majorHAnsi"/>
          <w:sz w:val="24"/>
          <w:szCs w:val="22"/>
          <w:lang w:val="es-ES" w:eastAsia="en-US"/>
        </w:rPr>
        <w:t>e-</w:t>
      </w:r>
      <w:proofErr w:type="spellStart"/>
      <w:r w:rsidRPr="001A19E6">
        <w:rPr>
          <w:rFonts w:asciiTheme="majorHAnsi" w:eastAsiaTheme="minorHAnsi" w:hAnsiTheme="majorHAnsi" w:cstheme="majorHAnsi"/>
          <w:sz w:val="24"/>
          <w:szCs w:val="22"/>
          <w:lang w:val="es-ES" w:eastAsia="en-US"/>
        </w:rPr>
        <w:t>comerce</w:t>
      </w:r>
      <w:proofErr w:type="spellEnd"/>
      <w:r w:rsidRPr="001A19E6">
        <w:rPr>
          <w:rFonts w:asciiTheme="majorHAnsi" w:eastAsiaTheme="minorHAnsi" w:hAnsiTheme="majorHAnsi" w:cstheme="majorHAnsi"/>
          <w:sz w:val="24"/>
          <w:szCs w:val="22"/>
          <w:lang w:val="es-ES" w:eastAsia="en-US"/>
        </w:rPr>
        <w:t xml:space="preserve"> y distribución</w:t>
      </w:r>
      <w:r w:rsidR="00C877AB" w:rsidRPr="001A19E6">
        <w:rPr>
          <w:rFonts w:asciiTheme="majorHAnsi" w:eastAsiaTheme="minorHAnsi" w:hAnsiTheme="majorHAnsi" w:cstheme="majorHAnsi"/>
          <w:sz w:val="24"/>
          <w:szCs w:val="22"/>
          <w:lang w:val="es-ES" w:eastAsia="en-US"/>
        </w:rPr>
        <w:t>.</w:t>
      </w:r>
    </w:p>
    <w:p w14:paraId="11F8CA31" w14:textId="77777777" w:rsidR="00A53C08" w:rsidRDefault="00A53C08" w:rsidP="00D4710E">
      <w:pPr>
        <w:spacing w:line="276" w:lineRule="auto"/>
        <w:jc w:val="both"/>
        <w:rPr>
          <w:rFonts w:asciiTheme="majorHAnsi" w:eastAsiaTheme="minorHAnsi" w:hAnsiTheme="majorHAnsi" w:cstheme="majorHAnsi"/>
          <w:sz w:val="24"/>
          <w:szCs w:val="22"/>
          <w:lang w:val="es-ES" w:eastAsia="en-US"/>
        </w:rPr>
      </w:pPr>
    </w:p>
    <w:p w14:paraId="432A8789" w14:textId="2A6B9C14" w:rsidR="0034050A" w:rsidRDefault="00A30CE9" w:rsidP="00D4710E">
      <w:pPr>
        <w:spacing w:line="276" w:lineRule="auto"/>
        <w:jc w:val="both"/>
        <w:rPr>
          <w:rFonts w:asciiTheme="majorHAnsi" w:hAnsiTheme="majorHAnsi" w:cstheme="majorHAnsi"/>
          <w:sz w:val="24"/>
          <w:szCs w:val="22"/>
          <w:lang w:eastAsia="en-US"/>
        </w:rPr>
      </w:pPr>
      <w:r w:rsidRPr="00A30CE9">
        <w:rPr>
          <w:rFonts w:asciiTheme="majorHAnsi" w:hAnsiTheme="majorHAnsi" w:cstheme="majorHAnsi"/>
          <w:sz w:val="24"/>
          <w:szCs w:val="22"/>
          <w:lang w:eastAsia="en-US"/>
        </w:rPr>
        <w:t xml:space="preserve">El sector de la alimentación está empezando a experimentar paulatinamente importantes cambios; la manera de buscar, elegir y comprar gastronomía y bebidas se está abriendo </w:t>
      </w:r>
      <w:r w:rsidRPr="00A30CE9">
        <w:rPr>
          <w:rFonts w:asciiTheme="majorHAnsi" w:hAnsiTheme="majorHAnsi" w:cstheme="majorHAnsi"/>
          <w:sz w:val="24"/>
          <w:szCs w:val="22"/>
          <w:lang w:eastAsia="en-US"/>
        </w:rPr>
        <w:lastRenderedPageBreak/>
        <w:t>a nuevas alternativas. Internet aporta la capacidad de posicionarse como una opción real para el sector ya que se trata de un gran mercado virtual</w:t>
      </w:r>
      <w:r w:rsidR="00D53ABF">
        <w:rPr>
          <w:rFonts w:asciiTheme="majorHAnsi" w:hAnsiTheme="majorHAnsi" w:cstheme="majorHAnsi"/>
          <w:sz w:val="24"/>
          <w:szCs w:val="22"/>
          <w:lang w:eastAsia="en-US"/>
        </w:rPr>
        <w:t>.</w:t>
      </w:r>
    </w:p>
    <w:p w14:paraId="00A08DC6" w14:textId="2B37136E" w:rsidR="00D53ABF" w:rsidRPr="00A71F55" w:rsidRDefault="00186C4D" w:rsidP="00D4710E">
      <w:pPr>
        <w:spacing w:line="276" w:lineRule="auto"/>
        <w:jc w:val="both"/>
        <w:rPr>
          <w:rFonts w:asciiTheme="majorHAnsi" w:hAnsiTheme="majorHAnsi" w:cstheme="majorHAnsi"/>
          <w:sz w:val="24"/>
          <w:szCs w:val="22"/>
          <w:lang w:val="es-ES" w:eastAsia="en-US"/>
        </w:rPr>
      </w:pPr>
      <w:r w:rsidRPr="00A71F55">
        <w:rPr>
          <w:rFonts w:asciiTheme="majorHAnsi" w:hAnsiTheme="majorHAnsi" w:cstheme="majorHAnsi"/>
          <w:sz w:val="24"/>
          <w:szCs w:val="22"/>
          <w:lang w:eastAsia="en-US"/>
        </w:rPr>
        <w:t>El e</w:t>
      </w:r>
      <w:r w:rsidR="00A53C08">
        <w:rPr>
          <w:rFonts w:asciiTheme="majorHAnsi" w:hAnsiTheme="majorHAnsi" w:cstheme="majorHAnsi"/>
          <w:sz w:val="24"/>
          <w:szCs w:val="22"/>
          <w:lang w:eastAsia="en-US"/>
        </w:rPr>
        <w:t>-</w:t>
      </w:r>
      <w:proofErr w:type="spellStart"/>
      <w:r w:rsidRPr="00A71F55">
        <w:rPr>
          <w:rFonts w:asciiTheme="majorHAnsi" w:hAnsiTheme="majorHAnsi" w:cstheme="majorHAnsi"/>
          <w:sz w:val="24"/>
          <w:szCs w:val="22"/>
          <w:lang w:eastAsia="en-US"/>
        </w:rPr>
        <w:t>commerce</w:t>
      </w:r>
      <w:proofErr w:type="spellEnd"/>
      <w:r w:rsidRPr="00A71F55">
        <w:rPr>
          <w:rFonts w:asciiTheme="majorHAnsi" w:hAnsiTheme="majorHAnsi" w:cstheme="majorHAnsi"/>
          <w:sz w:val="24"/>
          <w:szCs w:val="22"/>
          <w:lang w:eastAsia="en-US"/>
        </w:rPr>
        <w:t xml:space="preserve"> de alimentación no consigue alcanzar la disrupción que se preveía. Si bien se trata de un mercado que va aumentando año tras año, los datos son discretos y se alejan mucho de mercados como el británico. No obstante, los operadores tradicionales están apostando por la inversión en este canal que forma parte de la estrategia de la mayoría de ellos</w:t>
      </w:r>
      <w:r w:rsidR="00A71F55">
        <w:rPr>
          <w:rFonts w:asciiTheme="majorHAnsi" w:hAnsiTheme="majorHAnsi" w:cstheme="majorHAnsi"/>
          <w:sz w:val="24"/>
          <w:szCs w:val="22"/>
          <w:lang w:eastAsia="en-US"/>
        </w:rPr>
        <w:t>, mientras que los principales integrantes</w:t>
      </w:r>
      <w:r w:rsidRPr="00A71F55">
        <w:rPr>
          <w:rFonts w:asciiTheme="majorHAnsi" w:hAnsiTheme="majorHAnsi" w:cstheme="majorHAnsi"/>
          <w:sz w:val="24"/>
          <w:szCs w:val="22"/>
          <w:lang w:eastAsia="en-US"/>
        </w:rPr>
        <w:t xml:space="preserve"> mejoran su propuesta de valor confiando en que esa esperada eclosión ocurra lo antes posible</w:t>
      </w:r>
      <w:r w:rsidR="00CC73A8">
        <w:rPr>
          <w:rFonts w:asciiTheme="majorHAnsi" w:hAnsiTheme="majorHAnsi" w:cstheme="majorHAnsi"/>
          <w:sz w:val="24"/>
          <w:szCs w:val="22"/>
          <w:lang w:eastAsia="en-US"/>
        </w:rPr>
        <w:t>.</w:t>
      </w:r>
    </w:p>
    <w:p w14:paraId="52E020BB" w14:textId="77777777" w:rsidR="001572E7" w:rsidRDefault="00D80CC7" w:rsidP="00D4710E">
      <w:pPr>
        <w:spacing w:line="276" w:lineRule="auto"/>
        <w:jc w:val="both"/>
        <w:rPr>
          <w:rFonts w:asciiTheme="majorHAnsi" w:hAnsiTheme="majorHAnsi" w:cstheme="majorHAnsi"/>
          <w:sz w:val="22"/>
          <w:lang w:val="es-ES" w:eastAsia="en-US"/>
        </w:rPr>
      </w:pPr>
      <w:r w:rsidRPr="00A71F55">
        <w:rPr>
          <w:rFonts w:asciiTheme="majorHAnsi" w:hAnsiTheme="majorHAnsi" w:cstheme="majorHAnsi"/>
          <w:sz w:val="22"/>
          <w:lang w:val="es-ES" w:eastAsia="en-US"/>
        </w:rPr>
        <w:tab/>
      </w:r>
    </w:p>
    <w:p w14:paraId="5452D4C6" w14:textId="5AD50655" w:rsidR="00D80CC7" w:rsidRDefault="00D80CC7" w:rsidP="001572E7">
      <w:pPr>
        <w:pStyle w:val="Ttulo2"/>
        <w:keepLines/>
        <w:widowControl/>
        <w:spacing w:before="40" w:line="276" w:lineRule="auto"/>
        <w:rPr>
          <w:rFonts w:asciiTheme="majorHAnsi" w:eastAsiaTheme="minorHAnsi" w:hAnsiTheme="majorHAnsi" w:cstheme="majorHAnsi"/>
          <w:b w:val="0"/>
          <w:szCs w:val="22"/>
          <w:lang w:val="es-ES" w:eastAsia="en-US"/>
        </w:rPr>
      </w:pPr>
      <w:bookmarkStart w:id="76" w:name="_Toc14695501"/>
      <w:r w:rsidRPr="00F3311F">
        <w:rPr>
          <w:rFonts w:asciiTheme="majorHAnsi" w:eastAsiaTheme="minorHAnsi" w:hAnsiTheme="majorHAnsi" w:cstheme="majorHAnsi"/>
          <w:b w:val="0"/>
          <w:sz w:val="20"/>
          <w:szCs w:val="18"/>
          <w:lang w:val="es-ES" w:eastAsia="en-US"/>
        </w:rPr>
        <w:t xml:space="preserve">- </w:t>
      </w:r>
      <w:r w:rsidRPr="00F3311F">
        <w:rPr>
          <w:rFonts w:asciiTheme="majorHAnsi" w:eastAsiaTheme="minorHAnsi" w:hAnsiTheme="majorHAnsi" w:cstheme="majorHAnsi"/>
          <w:b w:val="0"/>
          <w:szCs w:val="22"/>
          <w:lang w:val="es-ES" w:eastAsia="en-US"/>
        </w:rPr>
        <w:t>Diversidad y Calidad de los productos</w:t>
      </w:r>
      <w:r w:rsidR="001572E7">
        <w:rPr>
          <w:rFonts w:asciiTheme="majorHAnsi" w:eastAsiaTheme="minorHAnsi" w:hAnsiTheme="majorHAnsi" w:cstheme="majorHAnsi"/>
          <w:b w:val="0"/>
          <w:szCs w:val="22"/>
          <w:lang w:val="es-ES" w:eastAsia="en-US"/>
        </w:rPr>
        <w:t xml:space="preserve">; </w:t>
      </w:r>
      <w:r w:rsidRPr="00F3311F">
        <w:rPr>
          <w:rFonts w:asciiTheme="majorHAnsi" w:eastAsiaTheme="minorHAnsi" w:hAnsiTheme="majorHAnsi" w:cstheme="majorHAnsi"/>
          <w:b w:val="0"/>
          <w:szCs w:val="22"/>
          <w:lang w:val="es-ES" w:eastAsia="en-US"/>
        </w:rPr>
        <w:t>Fortalecimiento de las figuras de calidad diferencia y control del fraude</w:t>
      </w:r>
      <w:r w:rsidR="00CC73A8">
        <w:rPr>
          <w:rFonts w:asciiTheme="majorHAnsi" w:eastAsiaTheme="minorHAnsi" w:hAnsiTheme="majorHAnsi" w:cstheme="majorHAnsi"/>
          <w:b w:val="0"/>
          <w:szCs w:val="22"/>
          <w:lang w:val="es-ES" w:eastAsia="en-US"/>
        </w:rPr>
        <w:t>.</w:t>
      </w:r>
      <w:bookmarkEnd w:id="76"/>
      <w:r w:rsidRPr="00F3311F">
        <w:rPr>
          <w:rFonts w:asciiTheme="majorHAnsi" w:eastAsiaTheme="minorHAnsi" w:hAnsiTheme="majorHAnsi" w:cstheme="majorHAnsi"/>
          <w:b w:val="0"/>
          <w:szCs w:val="22"/>
          <w:lang w:val="es-ES" w:eastAsia="en-US"/>
        </w:rPr>
        <w:t xml:space="preserve"> </w:t>
      </w:r>
    </w:p>
    <w:p w14:paraId="4C75B2BB" w14:textId="77777777" w:rsidR="00C21C1A" w:rsidRPr="00C21C1A" w:rsidRDefault="00C21C1A" w:rsidP="00C21C1A">
      <w:pPr>
        <w:rPr>
          <w:rFonts w:eastAsiaTheme="minorHAnsi"/>
          <w:lang w:val="es-ES" w:eastAsia="en-US"/>
        </w:rPr>
      </w:pPr>
    </w:p>
    <w:p w14:paraId="5B2CAF66"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España tiene 370 figuras de calidad diferenciada, siendo el tercer Estado miembro de la UE en número por detrás de Italia, con más de 900, y de Francia, con unas 760. De ellas, 18 se encuentran en proceso de tramitación dentro de la UE, y 352 se encuentran registradas en la UE.</w:t>
      </w:r>
    </w:p>
    <w:p w14:paraId="5C51C015"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p>
    <w:p w14:paraId="4742D246" w14:textId="77777777" w:rsidR="00E815E2" w:rsidRPr="00F3311F" w:rsidRDefault="00E815E2" w:rsidP="00D4710E">
      <w:pPr>
        <w:spacing w:line="276" w:lineRule="auto"/>
        <w:jc w:val="both"/>
        <w:rPr>
          <w:rFonts w:asciiTheme="majorHAnsi" w:eastAsiaTheme="minorHAnsi" w:hAnsiTheme="majorHAnsi" w:cstheme="majorHAnsi"/>
          <w:sz w:val="24"/>
          <w:u w:val="single"/>
          <w:lang w:eastAsia="en-US"/>
        </w:rPr>
      </w:pPr>
      <w:r w:rsidRPr="00F3311F">
        <w:rPr>
          <w:rFonts w:asciiTheme="majorHAnsi" w:eastAsiaTheme="minorHAnsi" w:hAnsiTheme="majorHAnsi" w:cstheme="majorHAnsi"/>
          <w:sz w:val="24"/>
          <w:u w:val="single"/>
          <w:lang w:eastAsia="en-US"/>
        </w:rPr>
        <w:t>DOP, IGP y ETG de productos agroalimentarios no vínicos</w:t>
      </w:r>
    </w:p>
    <w:p w14:paraId="6989AFCD"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En 2017 se destinaron a este tipo de producciones unas 807.356 ha de superficie agraria (destacando el olivar) y 2,5 millones de cabezas de ganado inscritas, con un total de 198.377 operadores primarios y 3.551 Industrias inscritas. Se comercializaron unas 840.000 t (destacando frutas y jamones) y 105.000 hl (destacando los vinagres) de estos alimentos.</w:t>
      </w:r>
    </w:p>
    <w:p w14:paraId="622A4CA6"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En cuanto al valor económico estimado en origen fue de 2.523 Millones €, un 5,2 % más que el año anterior. El comercio exterior representa aproximadamente el 15%. Entre estos productos destacan los subsectores de Jamones (1.085 M€, incremento del 8% respecto a 2016), Frutas (467 M€, similar al año anterior), Quesos (283 M€, + 1%), Carnes frescas (220 M€, +1%) y Aceite Oliva Virgen (138 M€,+3%).</w:t>
      </w:r>
    </w:p>
    <w:p w14:paraId="6FCF1938" w14:textId="77777777" w:rsidR="00062BC8" w:rsidRPr="00F3311F" w:rsidRDefault="00062BC8" w:rsidP="00D4710E">
      <w:pPr>
        <w:spacing w:line="276" w:lineRule="auto"/>
        <w:jc w:val="both"/>
        <w:rPr>
          <w:rFonts w:asciiTheme="majorHAnsi" w:eastAsiaTheme="minorHAnsi" w:hAnsiTheme="majorHAnsi" w:cstheme="majorHAnsi"/>
          <w:sz w:val="24"/>
          <w:lang w:eastAsia="en-US"/>
        </w:rPr>
      </w:pPr>
    </w:p>
    <w:p w14:paraId="138F114A" w14:textId="77777777" w:rsidR="00E815E2" w:rsidRPr="00F3311F" w:rsidRDefault="00E815E2" w:rsidP="00D4710E">
      <w:pPr>
        <w:spacing w:line="276" w:lineRule="auto"/>
        <w:jc w:val="both"/>
        <w:rPr>
          <w:rFonts w:asciiTheme="majorHAnsi" w:eastAsiaTheme="minorHAnsi" w:hAnsiTheme="majorHAnsi" w:cstheme="majorHAnsi"/>
          <w:sz w:val="24"/>
          <w:u w:val="single"/>
          <w:lang w:eastAsia="en-US"/>
        </w:rPr>
      </w:pPr>
      <w:r w:rsidRPr="00F3311F">
        <w:rPr>
          <w:rFonts w:asciiTheme="majorHAnsi" w:eastAsiaTheme="minorHAnsi" w:hAnsiTheme="majorHAnsi" w:cstheme="majorHAnsi"/>
          <w:sz w:val="24"/>
          <w:u w:val="single"/>
          <w:lang w:eastAsia="en-US"/>
        </w:rPr>
        <w:t>DOP e IGP de productos vínicos</w:t>
      </w:r>
    </w:p>
    <w:p w14:paraId="7296F09D" w14:textId="77777777" w:rsidR="00E815E2"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Según los últimos datos disponibles, en la campaña 2016/2017 se destinaron a este tipo de producciones unas 642.000 ha de superficie de viñedo con un total de más de 146.000 viticultores y 4.856 bodegas inscritas.</w:t>
      </w:r>
    </w:p>
    <w:p w14:paraId="5C09FD0C" w14:textId="77777777" w:rsidR="0012213F" w:rsidRPr="00F3311F" w:rsidRDefault="0012213F" w:rsidP="00D4710E">
      <w:pPr>
        <w:spacing w:line="276" w:lineRule="auto"/>
        <w:jc w:val="both"/>
        <w:rPr>
          <w:rFonts w:asciiTheme="majorHAnsi" w:eastAsiaTheme="minorHAnsi" w:hAnsiTheme="majorHAnsi" w:cstheme="majorHAnsi"/>
          <w:sz w:val="24"/>
          <w:lang w:eastAsia="en-US"/>
        </w:rPr>
      </w:pPr>
    </w:p>
    <w:p w14:paraId="2399A1BC" w14:textId="77777777" w:rsidR="00E815E2"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En dicho periodo se comercializaron más de 12,4 Millones de hl de vinos con DOP (un 4,4% más que la campaña anterior) y 2,3 Millones de hl de vinos con IGP. En cuanto al valor económico estimado en origen fue de más de 4.200 Millones € (un 7,4 % más que el año anterior) en DOP y 258 Millones € en IGP.</w:t>
      </w:r>
    </w:p>
    <w:p w14:paraId="063D9978" w14:textId="77777777" w:rsidR="0012213F" w:rsidRPr="00F3311F" w:rsidRDefault="0012213F" w:rsidP="00D4710E">
      <w:pPr>
        <w:spacing w:line="276" w:lineRule="auto"/>
        <w:jc w:val="both"/>
        <w:rPr>
          <w:rFonts w:asciiTheme="majorHAnsi" w:eastAsiaTheme="minorHAnsi" w:hAnsiTheme="majorHAnsi" w:cstheme="majorHAnsi"/>
          <w:sz w:val="24"/>
          <w:lang w:eastAsia="en-US"/>
        </w:rPr>
      </w:pPr>
    </w:p>
    <w:p w14:paraId="57DE75F3"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lastRenderedPageBreak/>
        <w:t>El comercio interior representa un 59% del total, con un volumen de 7.314.086 hl (+6,28% respecto a la anterior campaña), y el comercio exterior, incluidos los destinos UE, un 41%, con un volumen de 5.092.626 hl (+1,84%.respecto a la campaña pasada).</w:t>
      </w:r>
    </w:p>
    <w:p w14:paraId="0C5FBE27"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p>
    <w:p w14:paraId="500E8D99" w14:textId="77777777" w:rsidR="00E815E2" w:rsidRDefault="00E815E2" w:rsidP="00D4710E">
      <w:pPr>
        <w:spacing w:line="276" w:lineRule="auto"/>
        <w:jc w:val="both"/>
        <w:rPr>
          <w:rFonts w:asciiTheme="majorHAnsi" w:eastAsiaTheme="minorHAnsi" w:hAnsiTheme="majorHAnsi" w:cstheme="majorHAnsi"/>
          <w:sz w:val="24"/>
          <w:u w:val="single"/>
          <w:lang w:eastAsia="en-US"/>
        </w:rPr>
      </w:pPr>
      <w:r w:rsidRPr="00F3311F">
        <w:rPr>
          <w:rFonts w:asciiTheme="majorHAnsi" w:eastAsiaTheme="minorHAnsi" w:hAnsiTheme="majorHAnsi" w:cstheme="majorHAnsi"/>
          <w:sz w:val="24"/>
          <w:u w:val="single"/>
          <w:lang w:eastAsia="en-US"/>
        </w:rPr>
        <w:t>IG de bebidas espirituosas</w:t>
      </w:r>
    </w:p>
    <w:p w14:paraId="0435377C" w14:textId="77777777" w:rsidR="0012213F" w:rsidRPr="00F3311F" w:rsidRDefault="0012213F" w:rsidP="00D4710E">
      <w:pPr>
        <w:spacing w:line="276" w:lineRule="auto"/>
        <w:jc w:val="both"/>
        <w:rPr>
          <w:rFonts w:asciiTheme="majorHAnsi" w:eastAsiaTheme="minorHAnsi" w:hAnsiTheme="majorHAnsi" w:cstheme="majorHAnsi"/>
          <w:sz w:val="24"/>
          <w:u w:val="single"/>
          <w:lang w:eastAsia="en-US"/>
        </w:rPr>
      </w:pPr>
    </w:p>
    <w:p w14:paraId="595AFF98" w14:textId="77777777" w:rsidR="00E815E2"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En la actualidad, en España hay 240 industrias elaboradoras inscritas, siendo uno de los principales elaboradores de bebidas espirituosas (quinto país productor mundial).</w:t>
      </w:r>
    </w:p>
    <w:p w14:paraId="089E4DF1" w14:textId="77777777" w:rsidR="0012213F" w:rsidRPr="00F3311F" w:rsidRDefault="0012213F" w:rsidP="00D4710E">
      <w:pPr>
        <w:spacing w:line="276" w:lineRule="auto"/>
        <w:jc w:val="both"/>
        <w:rPr>
          <w:rFonts w:asciiTheme="majorHAnsi" w:eastAsiaTheme="minorHAnsi" w:hAnsiTheme="majorHAnsi" w:cstheme="majorHAnsi"/>
          <w:sz w:val="24"/>
          <w:lang w:eastAsia="en-US"/>
        </w:rPr>
      </w:pPr>
    </w:p>
    <w:p w14:paraId="130C6255"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En 2017 se han comercializaron 19,6 millones de litros, un 5,8% más que en el año anterior, invirtiéndose la tendencia descendente desde 2008. Su destino en un 42% es el mercado exterior. El valor económico estimado en origen asciende a 135 Millones €.</w:t>
      </w:r>
    </w:p>
    <w:p w14:paraId="4B61D9CF"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p>
    <w:p w14:paraId="03EDC906" w14:textId="77777777" w:rsidR="00E815E2" w:rsidRDefault="00E815E2" w:rsidP="00D4710E">
      <w:pPr>
        <w:spacing w:line="276" w:lineRule="auto"/>
        <w:jc w:val="both"/>
        <w:rPr>
          <w:rFonts w:asciiTheme="majorHAnsi" w:eastAsiaTheme="minorHAnsi" w:hAnsiTheme="majorHAnsi" w:cstheme="majorHAnsi"/>
          <w:sz w:val="24"/>
          <w:lang w:eastAsia="en-US"/>
        </w:rPr>
      </w:pPr>
      <w:r w:rsidRPr="00F3311F">
        <w:rPr>
          <w:rFonts w:asciiTheme="majorHAnsi" w:eastAsiaTheme="minorHAnsi" w:hAnsiTheme="majorHAnsi" w:cstheme="majorHAnsi"/>
          <w:sz w:val="24"/>
          <w:lang w:eastAsia="en-US"/>
        </w:rPr>
        <w:t>Las DOP, IGP y ETG están inscritas en los registros comunitarios correspondientes, en función del producto de que se trate: productos agroalimentarios, vinos o bebidas espirituosas. Las DOP e IGP están protegidas por derechos de propiedad intelectual.</w:t>
      </w:r>
    </w:p>
    <w:p w14:paraId="3C20CB60" w14:textId="77777777" w:rsidR="0012213F" w:rsidRPr="00F3311F" w:rsidRDefault="0012213F" w:rsidP="00D4710E">
      <w:pPr>
        <w:spacing w:line="276" w:lineRule="auto"/>
        <w:jc w:val="both"/>
        <w:rPr>
          <w:rFonts w:asciiTheme="majorHAnsi" w:eastAsiaTheme="minorHAnsi" w:hAnsiTheme="majorHAnsi" w:cstheme="majorHAnsi"/>
          <w:sz w:val="24"/>
          <w:lang w:eastAsia="en-US"/>
        </w:rPr>
      </w:pPr>
    </w:p>
    <w:p w14:paraId="5173A539" w14:textId="77777777" w:rsidR="00E815E2" w:rsidRPr="00F3311F" w:rsidRDefault="00E815E2" w:rsidP="00D4710E">
      <w:pPr>
        <w:spacing w:line="276" w:lineRule="auto"/>
        <w:jc w:val="both"/>
        <w:rPr>
          <w:rFonts w:asciiTheme="majorHAnsi" w:eastAsiaTheme="minorHAnsi" w:hAnsiTheme="majorHAnsi" w:cstheme="majorHAnsi"/>
          <w:sz w:val="24"/>
          <w:lang w:eastAsia="en-US"/>
        </w:rPr>
      </w:pPr>
    </w:p>
    <w:p w14:paraId="470208EE" w14:textId="41C4D232" w:rsidR="00D80CC7" w:rsidRDefault="00D80CC7" w:rsidP="000033C1">
      <w:pPr>
        <w:pStyle w:val="Ttulo2"/>
        <w:keepLines/>
        <w:widowControl/>
        <w:numPr>
          <w:ilvl w:val="0"/>
          <w:numId w:val="5"/>
        </w:numPr>
        <w:spacing w:before="40" w:line="276" w:lineRule="auto"/>
        <w:rPr>
          <w:rFonts w:asciiTheme="majorHAnsi" w:eastAsiaTheme="minorHAnsi" w:hAnsiTheme="majorHAnsi" w:cstheme="majorHAnsi"/>
          <w:b w:val="0"/>
          <w:szCs w:val="22"/>
          <w:lang w:val="es-ES" w:eastAsia="en-US"/>
        </w:rPr>
      </w:pPr>
      <w:bookmarkStart w:id="77" w:name="_Toc14695502"/>
      <w:r w:rsidRPr="00F3311F">
        <w:rPr>
          <w:rFonts w:asciiTheme="majorHAnsi" w:eastAsiaTheme="minorHAnsi" w:hAnsiTheme="majorHAnsi" w:cstheme="majorHAnsi"/>
          <w:b w:val="0"/>
          <w:szCs w:val="22"/>
          <w:lang w:val="es-ES" w:eastAsia="en-US"/>
        </w:rPr>
        <w:t>Producción Ecológica</w:t>
      </w:r>
      <w:bookmarkEnd w:id="77"/>
      <w:r w:rsidRPr="00F3311F">
        <w:rPr>
          <w:rFonts w:asciiTheme="majorHAnsi" w:eastAsiaTheme="minorHAnsi" w:hAnsiTheme="majorHAnsi" w:cstheme="majorHAnsi"/>
          <w:b w:val="0"/>
          <w:szCs w:val="22"/>
          <w:lang w:val="es-ES" w:eastAsia="en-US"/>
        </w:rPr>
        <w:t xml:space="preserve"> </w:t>
      </w:r>
    </w:p>
    <w:p w14:paraId="3516E330" w14:textId="77777777" w:rsidR="0012213F" w:rsidRPr="0012213F" w:rsidRDefault="0012213F" w:rsidP="0012213F">
      <w:pPr>
        <w:rPr>
          <w:rFonts w:eastAsiaTheme="minorHAnsi"/>
          <w:lang w:val="es-ES" w:eastAsia="en-US"/>
        </w:rPr>
      </w:pPr>
    </w:p>
    <w:p w14:paraId="05441757" w14:textId="77777777" w:rsidR="00E815E2"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España es líder en este sector, al ocupar el primer lugar de la Unión Europa en superficie dedicada a la producción ecológica, con más de 2 millones de hectáreas en 2017 (el 8,2% de toda la superficie agraria útil), estando entre los cinco primeros del mundo tras países con enormes superficies territoriales como son Australia, Argentina, China y Estados Unidos.</w:t>
      </w:r>
    </w:p>
    <w:p w14:paraId="4A1682A7" w14:textId="77777777" w:rsidR="0012213F" w:rsidRPr="00F3311F" w:rsidRDefault="0012213F" w:rsidP="00D4710E">
      <w:pPr>
        <w:spacing w:line="276" w:lineRule="auto"/>
        <w:jc w:val="both"/>
        <w:rPr>
          <w:rFonts w:asciiTheme="majorHAnsi" w:eastAsiaTheme="minorHAnsi" w:hAnsiTheme="majorHAnsi" w:cstheme="majorHAnsi"/>
          <w:sz w:val="24"/>
          <w:lang w:val="es-ES" w:eastAsia="en-US"/>
        </w:rPr>
      </w:pPr>
    </w:p>
    <w:p w14:paraId="20401A68" w14:textId="77777777" w:rsidR="00E815E2"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número de operadores ecológicos registrados (agricultores, ganaderos, industriales y comercializadores) supera los 42.000, con cerca de 38.000 productores agrarios y más de 4.000 elaboradores/trasformadores, que dan empleo a unos 85.000 trabajadores, con muy alta participación del empleo femenino.</w:t>
      </w:r>
    </w:p>
    <w:p w14:paraId="5C9F0ED1" w14:textId="77777777" w:rsidR="0012213F" w:rsidRPr="00F3311F" w:rsidRDefault="0012213F" w:rsidP="00D4710E">
      <w:pPr>
        <w:spacing w:line="276" w:lineRule="auto"/>
        <w:jc w:val="both"/>
        <w:rPr>
          <w:rFonts w:asciiTheme="majorHAnsi" w:eastAsiaTheme="minorHAnsi" w:hAnsiTheme="majorHAnsi" w:cstheme="majorHAnsi"/>
          <w:sz w:val="24"/>
          <w:lang w:val="es-ES" w:eastAsia="en-US"/>
        </w:rPr>
      </w:pPr>
    </w:p>
    <w:p w14:paraId="5641CB4A" w14:textId="77777777" w:rsidR="00E815E2"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En 2017 se ha producido un fuerte crecimiento del consumo de productos ecológicos en el mercado español, de forma que el gasto total de los españoles en estos productos ascendió a 1.962 millones de euros. Este gasto ya venía siguiendo una trayectoria ascendente, acumulando crecimientos de dos dígitos porcentuales desde el 2014 hasta el 2018 de forma consecutiva. Así, mientras que el crecimiento del gasto en productos ecológicos fue de un 16,4% entre 2017 y 2016, el crecimiento del gasto total en alimentación y bebidas en España en ese mismo periodo fue solo del 2,9%.</w:t>
      </w:r>
    </w:p>
    <w:p w14:paraId="5D085312" w14:textId="77777777" w:rsidR="0012213F" w:rsidRPr="00F3311F" w:rsidRDefault="0012213F" w:rsidP="00D4710E">
      <w:pPr>
        <w:spacing w:line="276" w:lineRule="auto"/>
        <w:jc w:val="both"/>
        <w:rPr>
          <w:rFonts w:asciiTheme="majorHAnsi" w:eastAsiaTheme="minorHAnsi" w:hAnsiTheme="majorHAnsi" w:cstheme="majorHAnsi"/>
          <w:sz w:val="24"/>
          <w:lang w:val="es-ES" w:eastAsia="en-US"/>
        </w:rPr>
      </w:pPr>
    </w:p>
    <w:p w14:paraId="3520C8F9" w14:textId="77777777" w:rsidR="00E815E2"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lastRenderedPageBreak/>
        <w:t>Con este crecimiento continuo del consumo de productos ecológicos en España, se ha alcanzado ratios de cierta relevancia, de manera que en 2017 el gasto en productos ecológicos representó casi el 2% de todo el gasto en alimentación y bebidas de los españoles, ascendiendo el gasto per cápita en productos ecológicos de los consumidores españoles a 42,2 euros/hab./año. Todo ello sitúa a España como el 10º mercado mundial consumidor de este tipo de productos.</w:t>
      </w:r>
    </w:p>
    <w:p w14:paraId="2367D001" w14:textId="77777777" w:rsidR="0012213F" w:rsidRPr="00F3311F" w:rsidRDefault="0012213F" w:rsidP="00D4710E">
      <w:pPr>
        <w:spacing w:line="276" w:lineRule="auto"/>
        <w:jc w:val="both"/>
        <w:rPr>
          <w:rFonts w:asciiTheme="majorHAnsi" w:eastAsiaTheme="minorHAnsi" w:hAnsiTheme="majorHAnsi" w:cstheme="majorHAnsi"/>
          <w:sz w:val="24"/>
          <w:lang w:val="es-ES" w:eastAsia="en-US"/>
        </w:rPr>
      </w:pPr>
    </w:p>
    <w:p w14:paraId="45CAD24C" w14:textId="77777777" w:rsidR="00E815E2" w:rsidRPr="00F3311F"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En cuanto al comercio exterior, España en 2017 mantiene un balance positivo siendo las exportaciones próximas a los 900 millones de euros y las importaciones superaron los 770 millones de euros.</w:t>
      </w:r>
    </w:p>
    <w:p w14:paraId="10F27F49" w14:textId="77777777" w:rsidR="00E815E2" w:rsidRPr="00F3311F" w:rsidRDefault="00E815E2" w:rsidP="00D4710E">
      <w:pPr>
        <w:spacing w:line="276" w:lineRule="auto"/>
        <w:jc w:val="both"/>
        <w:rPr>
          <w:rFonts w:asciiTheme="majorHAnsi" w:eastAsiaTheme="minorHAnsi" w:hAnsiTheme="majorHAnsi" w:cstheme="majorHAnsi"/>
          <w:sz w:val="24"/>
          <w:lang w:val="es-ES" w:eastAsia="en-US"/>
        </w:rPr>
      </w:pPr>
    </w:p>
    <w:p w14:paraId="4209C68C" w14:textId="77777777" w:rsidR="00E815E2"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El Departamento está desarrollando la Estrategia para la Producción Ecológica 2018 – 2020, que reúne un conjunto de 36 líneas estratégicas y 113 actuaciones dirigidas a consolidar en España la agricultura y ganadería ecológicas, fomentar el consumo interno y la internacionalización de estos productos.</w:t>
      </w:r>
    </w:p>
    <w:p w14:paraId="60A37082" w14:textId="77777777" w:rsidR="0012213F" w:rsidRPr="00F3311F" w:rsidRDefault="0012213F" w:rsidP="00D4710E">
      <w:pPr>
        <w:spacing w:line="276" w:lineRule="auto"/>
        <w:jc w:val="both"/>
        <w:rPr>
          <w:rFonts w:asciiTheme="majorHAnsi" w:eastAsiaTheme="minorHAnsi" w:hAnsiTheme="majorHAnsi" w:cstheme="majorHAnsi"/>
          <w:sz w:val="24"/>
          <w:lang w:val="es-ES" w:eastAsia="en-US"/>
        </w:rPr>
      </w:pPr>
    </w:p>
    <w:p w14:paraId="18FB51AC" w14:textId="7C78E1A3" w:rsidR="00E815E2" w:rsidRPr="00F3311F" w:rsidRDefault="00E815E2" w:rsidP="00D4710E">
      <w:pPr>
        <w:spacing w:line="276" w:lineRule="auto"/>
        <w:jc w:val="both"/>
        <w:rPr>
          <w:rFonts w:asciiTheme="majorHAnsi" w:eastAsiaTheme="minorHAnsi" w:hAnsiTheme="majorHAnsi" w:cstheme="majorHAnsi"/>
          <w:sz w:val="24"/>
          <w:lang w:val="es-ES" w:eastAsia="en-US"/>
        </w:rPr>
      </w:pPr>
      <w:r w:rsidRPr="00F3311F">
        <w:rPr>
          <w:rFonts w:asciiTheme="majorHAnsi" w:eastAsiaTheme="minorHAnsi" w:hAnsiTheme="majorHAnsi" w:cstheme="majorHAnsi"/>
          <w:sz w:val="24"/>
          <w:lang w:val="es-ES" w:eastAsia="en-US"/>
        </w:rPr>
        <w:t>Esta estrategia también pretende mejorar la vertebración sectorial de la producción ecológica, apoyar el crecimiento y consolidación del sector, así como enmarcar su papel en la política de medio ambiente y adaptación al cambio climático. Al respecto, el Gobierno quiere convertir a España en un referente en la lucha contra el desperdicio alimentario y en la producción ecológica, alineando estas acciones con el Objetivo nº 12 de la Agenda 2030 para el Desarrollo Sostenible, relativo a la Producción y el Consumo Responsables.</w:t>
      </w:r>
    </w:p>
    <w:p w14:paraId="44752639" w14:textId="4324574B" w:rsidR="00C21C1A" w:rsidRDefault="00C21C1A">
      <w:pPr>
        <w:rPr>
          <w:rFonts w:asciiTheme="majorHAnsi" w:eastAsiaTheme="minorHAnsi" w:hAnsiTheme="majorHAnsi" w:cstheme="majorHAnsi"/>
          <w:sz w:val="24"/>
          <w:lang w:val="es-ES" w:eastAsia="en-US"/>
        </w:rPr>
      </w:pPr>
      <w:r>
        <w:rPr>
          <w:rFonts w:asciiTheme="majorHAnsi" w:eastAsiaTheme="minorHAnsi" w:hAnsiTheme="majorHAnsi" w:cstheme="majorHAnsi"/>
          <w:sz w:val="24"/>
          <w:lang w:val="es-ES" w:eastAsia="en-US"/>
        </w:rPr>
        <w:br w:type="page"/>
      </w:r>
    </w:p>
    <w:p w14:paraId="6435B8D4" w14:textId="77777777" w:rsidR="00E815E2" w:rsidRPr="00F3311F" w:rsidRDefault="00E815E2" w:rsidP="00D4710E">
      <w:pPr>
        <w:spacing w:line="276" w:lineRule="auto"/>
        <w:jc w:val="both"/>
        <w:rPr>
          <w:rFonts w:asciiTheme="majorHAnsi" w:eastAsiaTheme="minorHAnsi" w:hAnsiTheme="majorHAnsi" w:cstheme="majorHAnsi"/>
          <w:sz w:val="24"/>
          <w:lang w:val="es-ES" w:eastAsia="en-US"/>
        </w:rPr>
      </w:pPr>
    </w:p>
    <w:p w14:paraId="5ED9A806" w14:textId="77777777" w:rsidR="00062BC8" w:rsidRPr="00F3311F" w:rsidRDefault="00062BC8" w:rsidP="00D4710E">
      <w:pPr>
        <w:spacing w:line="276" w:lineRule="auto"/>
        <w:jc w:val="both"/>
        <w:rPr>
          <w:rFonts w:asciiTheme="majorHAnsi" w:hAnsiTheme="majorHAnsi" w:cstheme="majorHAnsi"/>
          <w:sz w:val="22"/>
          <w:lang w:val="es-ES"/>
        </w:rPr>
      </w:pPr>
    </w:p>
    <w:p w14:paraId="2FBE970F" w14:textId="77777777" w:rsidR="00E57A2B" w:rsidRPr="00F3311F" w:rsidRDefault="00E57A2B" w:rsidP="00D4710E">
      <w:pPr>
        <w:pStyle w:val="Ttulo1"/>
        <w:numPr>
          <w:ilvl w:val="0"/>
          <w:numId w:val="1"/>
        </w:numPr>
        <w:spacing w:line="276" w:lineRule="auto"/>
        <w:rPr>
          <w:rFonts w:asciiTheme="majorHAnsi" w:hAnsiTheme="majorHAnsi" w:cstheme="majorHAnsi"/>
          <w:sz w:val="28"/>
        </w:rPr>
      </w:pPr>
      <w:bookmarkStart w:id="78" w:name="_Toc14695504"/>
      <w:r w:rsidRPr="00F3311F">
        <w:rPr>
          <w:rFonts w:asciiTheme="majorHAnsi" w:hAnsiTheme="majorHAnsi" w:cstheme="majorHAnsi"/>
          <w:sz w:val="28"/>
        </w:rPr>
        <w:t>Temáticas a debatir en relación con el objetivo 3</w:t>
      </w:r>
      <w:bookmarkEnd w:id="78"/>
    </w:p>
    <w:p w14:paraId="3DB5E65A" w14:textId="77777777" w:rsidR="00E57A2B" w:rsidRDefault="00E57A2B" w:rsidP="00D4710E">
      <w:pPr>
        <w:spacing w:line="276" w:lineRule="auto"/>
        <w:jc w:val="both"/>
        <w:rPr>
          <w:rFonts w:asciiTheme="majorHAnsi" w:hAnsiTheme="majorHAnsi" w:cstheme="majorHAnsi"/>
          <w:sz w:val="22"/>
        </w:rPr>
      </w:pPr>
    </w:p>
    <w:p w14:paraId="6A2D1C47" w14:textId="6EB52542" w:rsidR="005355A8" w:rsidRDefault="005355A8" w:rsidP="005355A8">
      <w:pPr>
        <w:spacing w:line="276" w:lineRule="auto"/>
        <w:ind w:left="360"/>
        <w:jc w:val="both"/>
        <w:rPr>
          <w:rFonts w:asciiTheme="majorHAnsi" w:hAnsiTheme="majorHAnsi" w:cstheme="majorHAnsi"/>
          <w:sz w:val="22"/>
        </w:rPr>
      </w:pPr>
      <w:r>
        <w:rPr>
          <w:rFonts w:asciiTheme="majorHAnsi" w:hAnsiTheme="majorHAnsi" w:cstheme="majorHAnsi"/>
          <w:sz w:val="22"/>
        </w:rPr>
        <w:t xml:space="preserve">Dentro de las temáticas a debatir por este subgrupo de trabajo y de cara a plantear tanto la el análisis DAFO como el análisis de las necesidades que se establezca, se han establecido 3 </w:t>
      </w:r>
      <w:r w:rsidR="005A765C">
        <w:rPr>
          <w:rFonts w:asciiTheme="majorHAnsi" w:hAnsiTheme="majorHAnsi" w:cstheme="majorHAnsi"/>
          <w:sz w:val="22"/>
        </w:rPr>
        <w:t>temáticas</w:t>
      </w:r>
      <w:r>
        <w:rPr>
          <w:rFonts w:asciiTheme="majorHAnsi" w:hAnsiTheme="majorHAnsi" w:cstheme="majorHAnsi"/>
          <w:sz w:val="22"/>
        </w:rPr>
        <w:t xml:space="preserve"> diferentes, dentro de las cuales se establecen diferentes cuestiones a debatir.</w:t>
      </w:r>
    </w:p>
    <w:p w14:paraId="6A006612" w14:textId="77777777" w:rsidR="005355A8" w:rsidRDefault="005355A8" w:rsidP="005355A8">
      <w:pPr>
        <w:spacing w:line="276" w:lineRule="auto"/>
        <w:ind w:left="360"/>
        <w:jc w:val="both"/>
        <w:rPr>
          <w:rFonts w:asciiTheme="majorHAnsi" w:hAnsiTheme="majorHAnsi" w:cstheme="majorHAnsi"/>
          <w:sz w:val="22"/>
        </w:rPr>
      </w:pPr>
      <w:r>
        <w:rPr>
          <w:rFonts w:asciiTheme="majorHAnsi" w:hAnsiTheme="majorHAnsi" w:cstheme="majorHAnsi"/>
          <w:sz w:val="22"/>
        </w:rPr>
        <w:t>Las tres temáticas con los elementos a debatir son:</w:t>
      </w:r>
    </w:p>
    <w:p w14:paraId="6BDB4139" w14:textId="77777777" w:rsidR="000033C1" w:rsidRDefault="000033C1" w:rsidP="005355A8">
      <w:pPr>
        <w:spacing w:line="276" w:lineRule="auto"/>
        <w:ind w:left="360"/>
        <w:jc w:val="both"/>
        <w:rPr>
          <w:rFonts w:asciiTheme="majorHAnsi" w:hAnsiTheme="majorHAnsi" w:cstheme="majorHAnsi"/>
          <w:sz w:val="22"/>
        </w:rPr>
      </w:pPr>
    </w:p>
    <w:p w14:paraId="7353DE6A" w14:textId="77777777" w:rsidR="003F29EC" w:rsidRDefault="003F29EC" w:rsidP="000033C1">
      <w:pPr>
        <w:pStyle w:val="Prrafodelista"/>
        <w:numPr>
          <w:ilvl w:val="0"/>
          <w:numId w:val="29"/>
        </w:numPr>
        <w:spacing w:line="276" w:lineRule="auto"/>
        <w:jc w:val="both"/>
        <w:rPr>
          <w:rFonts w:asciiTheme="majorHAnsi" w:hAnsiTheme="majorHAnsi" w:cstheme="majorHAnsi"/>
          <w:b/>
          <w:sz w:val="24"/>
        </w:rPr>
      </w:pPr>
      <w:r w:rsidRPr="008777E9">
        <w:rPr>
          <w:rFonts w:asciiTheme="majorHAnsi" w:hAnsiTheme="majorHAnsi" w:cstheme="majorHAnsi"/>
          <w:b/>
          <w:sz w:val="24"/>
        </w:rPr>
        <w:t>Reparto de valor en la cadena alimentaria</w:t>
      </w:r>
    </w:p>
    <w:p w14:paraId="29E345A4" w14:textId="77777777" w:rsidR="000033C1" w:rsidRPr="000033C1" w:rsidRDefault="000033C1"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Reparto de valor en la cadena:</w:t>
      </w:r>
      <w:r w:rsidRPr="000033C1">
        <w:rPr>
          <w:rFonts w:asciiTheme="majorHAnsi" w:hAnsiTheme="majorHAnsi" w:cstheme="majorHAnsi"/>
          <w:sz w:val="24"/>
        </w:rPr>
        <w:t xml:space="preserve"> Percepciones de los eslabones ( dependencia y necesidad de considerarse socios en un sector tan importante y que funciona)</w:t>
      </w:r>
    </w:p>
    <w:p w14:paraId="55AFB9EF" w14:textId="4E336373" w:rsidR="003F29EC" w:rsidRPr="00C21C1A" w:rsidRDefault="003F29EC" w:rsidP="000033C1">
      <w:pPr>
        <w:pStyle w:val="Prrafodelista"/>
        <w:numPr>
          <w:ilvl w:val="0"/>
          <w:numId w:val="29"/>
        </w:numPr>
        <w:spacing w:line="276" w:lineRule="auto"/>
        <w:jc w:val="both"/>
        <w:rPr>
          <w:rFonts w:asciiTheme="majorHAnsi" w:hAnsiTheme="majorHAnsi" w:cstheme="majorHAnsi"/>
          <w:b/>
          <w:sz w:val="24"/>
        </w:rPr>
      </w:pPr>
      <w:r w:rsidRPr="00C21C1A">
        <w:rPr>
          <w:rFonts w:asciiTheme="majorHAnsi" w:hAnsiTheme="majorHAnsi" w:cstheme="majorHAnsi"/>
          <w:b/>
          <w:sz w:val="24"/>
        </w:rPr>
        <w:t>Instrumentos no</w:t>
      </w:r>
      <w:r w:rsidR="008777E9" w:rsidRPr="00C21C1A">
        <w:rPr>
          <w:rFonts w:asciiTheme="majorHAnsi" w:hAnsiTheme="majorHAnsi" w:cstheme="majorHAnsi"/>
          <w:b/>
          <w:sz w:val="24"/>
        </w:rPr>
        <w:t>rmativos y aspectos relacionados</w:t>
      </w:r>
      <w:r w:rsidR="003E5FFF" w:rsidRPr="00C21C1A">
        <w:rPr>
          <w:rFonts w:asciiTheme="majorHAnsi" w:hAnsiTheme="majorHAnsi" w:cstheme="majorHAnsi"/>
          <w:b/>
          <w:sz w:val="24"/>
        </w:rPr>
        <w:t xml:space="preserve"> Ley 12/2013</w:t>
      </w:r>
    </w:p>
    <w:p w14:paraId="18E50778" w14:textId="77777777" w:rsidR="000033C1" w:rsidRDefault="000033C1" w:rsidP="000033C1">
      <w:pPr>
        <w:pStyle w:val="Prrafodelista"/>
        <w:spacing w:line="276" w:lineRule="auto"/>
        <w:ind w:left="1080"/>
        <w:jc w:val="both"/>
        <w:rPr>
          <w:rFonts w:asciiTheme="majorHAnsi" w:hAnsiTheme="majorHAnsi" w:cstheme="majorHAnsi"/>
          <w:b/>
          <w:sz w:val="24"/>
        </w:rPr>
      </w:pPr>
    </w:p>
    <w:p w14:paraId="3DDE1173" w14:textId="6BC92A7F" w:rsidR="000033C1" w:rsidRPr="000033C1" w:rsidRDefault="000033C1"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Cambios a considerar en la Ley 12/2013</w:t>
      </w:r>
      <w:r w:rsidRPr="000033C1">
        <w:rPr>
          <w:rFonts w:asciiTheme="majorHAnsi" w:hAnsiTheme="majorHAnsi" w:cstheme="majorHAnsi"/>
          <w:sz w:val="24"/>
        </w:rPr>
        <w:t xml:space="preserve"> por la transposición de la directiva de prácticas desleales ( ámbito de aplicación incluyendo productos agrarios no alimentari</w:t>
      </w:r>
      <w:r w:rsidR="00C21C1A">
        <w:rPr>
          <w:rFonts w:asciiTheme="majorHAnsi" w:hAnsiTheme="majorHAnsi" w:cstheme="majorHAnsi"/>
          <w:sz w:val="24"/>
        </w:rPr>
        <w:t>os como el algodón y el tabaco)</w:t>
      </w:r>
    </w:p>
    <w:p w14:paraId="0B504F0F" w14:textId="77777777" w:rsidR="000033C1" w:rsidRPr="000033C1" w:rsidRDefault="000033C1"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Cambios a considerar en la Ley 12/2013</w:t>
      </w:r>
      <w:r w:rsidRPr="000033C1">
        <w:rPr>
          <w:rFonts w:asciiTheme="majorHAnsi" w:hAnsiTheme="majorHAnsi" w:cstheme="majorHAnsi"/>
          <w:sz w:val="24"/>
        </w:rPr>
        <w:t xml:space="preserve"> por la experiencia de los últimos años ( hacer única la contratación en esta Ley y no en la Ley de contratos, Activar el Código de Buenas Practicas y la mediación)</w:t>
      </w:r>
    </w:p>
    <w:p w14:paraId="5C232ED6" w14:textId="58677A52" w:rsidR="008777E9" w:rsidRPr="000033C1" w:rsidRDefault="000033C1"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Desarrollo (herramientas de apoyo) y cambios en la Ley 13/2013</w:t>
      </w:r>
      <w:r w:rsidRPr="000033C1">
        <w:rPr>
          <w:rFonts w:asciiTheme="majorHAnsi" w:hAnsiTheme="majorHAnsi" w:cstheme="majorHAnsi"/>
          <w:sz w:val="24"/>
        </w:rPr>
        <w:t xml:space="preserve">, de fomento de integración de cooperativas y otras entidades asociativas de carácter agroalimentario, para ser más efectivos en la concentración de la oferta, ganar dimensión, avanzar en la posición en la cadena alimentaria e incremento del valor añadido y de la renta de los productores (transformación y comercialización). </w:t>
      </w:r>
    </w:p>
    <w:p w14:paraId="575B5835" w14:textId="001F77EA" w:rsidR="005355A8" w:rsidRPr="008777E9" w:rsidRDefault="003F29EC" w:rsidP="000033C1">
      <w:pPr>
        <w:pStyle w:val="Prrafodelista"/>
        <w:numPr>
          <w:ilvl w:val="0"/>
          <w:numId w:val="29"/>
        </w:numPr>
        <w:spacing w:line="276" w:lineRule="auto"/>
        <w:jc w:val="both"/>
        <w:rPr>
          <w:rFonts w:asciiTheme="majorHAnsi" w:hAnsiTheme="majorHAnsi" w:cstheme="majorHAnsi"/>
        </w:rPr>
      </w:pPr>
      <w:r w:rsidRPr="008777E9">
        <w:rPr>
          <w:rFonts w:asciiTheme="majorHAnsi" w:hAnsiTheme="majorHAnsi" w:cstheme="majorHAnsi"/>
          <w:b/>
          <w:sz w:val="24"/>
        </w:rPr>
        <w:t>Estructura organizativa</w:t>
      </w:r>
      <w:r w:rsidR="009C7D90">
        <w:rPr>
          <w:rFonts w:asciiTheme="majorHAnsi" w:hAnsiTheme="majorHAnsi" w:cstheme="majorHAnsi"/>
          <w:b/>
          <w:sz w:val="24"/>
        </w:rPr>
        <w:t xml:space="preserve">  </w:t>
      </w:r>
    </w:p>
    <w:p w14:paraId="15376425" w14:textId="77777777" w:rsidR="008777E9" w:rsidRPr="000033C1" w:rsidRDefault="008777E9" w:rsidP="000033C1">
      <w:pPr>
        <w:spacing w:line="276" w:lineRule="auto"/>
        <w:jc w:val="both"/>
        <w:rPr>
          <w:rFonts w:asciiTheme="majorHAnsi" w:hAnsiTheme="majorHAnsi" w:cstheme="majorHAnsi"/>
        </w:rPr>
      </w:pPr>
    </w:p>
    <w:p w14:paraId="536B8F74" w14:textId="3E33379F" w:rsidR="00BC1AD2" w:rsidRPr="000033C1" w:rsidRDefault="00BC1AD2"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Papel de las interprofesionales desde el punto de vista de la producción</w:t>
      </w:r>
      <w:r w:rsidRPr="000033C1">
        <w:rPr>
          <w:rFonts w:asciiTheme="majorHAnsi" w:hAnsiTheme="majorHAnsi" w:cstheme="majorHAnsi"/>
          <w:sz w:val="24"/>
        </w:rPr>
        <w:t xml:space="preserve"> (homologar contratos, mayor tran</w:t>
      </w:r>
      <w:r w:rsidR="008C6F91" w:rsidRPr="000033C1">
        <w:rPr>
          <w:rFonts w:asciiTheme="majorHAnsi" w:hAnsiTheme="majorHAnsi" w:cstheme="majorHAnsi"/>
          <w:sz w:val="24"/>
        </w:rPr>
        <w:t xml:space="preserve">sparencia, mayor </w:t>
      </w:r>
      <w:proofErr w:type="spellStart"/>
      <w:r w:rsidR="008C6F91" w:rsidRPr="000033C1">
        <w:rPr>
          <w:rFonts w:asciiTheme="majorHAnsi" w:hAnsiTheme="majorHAnsi" w:cstheme="majorHAnsi"/>
          <w:sz w:val="24"/>
        </w:rPr>
        <w:t>autoregulacion</w:t>
      </w:r>
      <w:proofErr w:type="spellEnd"/>
      <w:r w:rsidR="008C6F91" w:rsidRPr="000033C1">
        <w:rPr>
          <w:rFonts w:asciiTheme="majorHAnsi" w:hAnsiTheme="majorHAnsi" w:cstheme="majorHAnsi"/>
          <w:sz w:val="24"/>
        </w:rPr>
        <w:t>, dedicar parte de los fondos de extensión de norma a la promoción de figuras de calidad</w:t>
      </w:r>
      <w:proofErr w:type="gramStart"/>
      <w:r w:rsidR="008C6F91" w:rsidRPr="000033C1">
        <w:rPr>
          <w:rFonts w:asciiTheme="majorHAnsi" w:hAnsiTheme="majorHAnsi" w:cstheme="majorHAnsi"/>
          <w:sz w:val="24"/>
        </w:rPr>
        <w:t>?</w:t>
      </w:r>
      <w:proofErr w:type="gramEnd"/>
      <w:r w:rsidR="008C6F91" w:rsidRPr="000033C1">
        <w:rPr>
          <w:rFonts w:asciiTheme="majorHAnsi" w:hAnsiTheme="majorHAnsi" w:cstheme="majorHAnsi"/>
          <w:sz w:val="24"/>
        </w:rPr>
        <w:t>…</w:t>
      </w:r>
      <w:r w:rsidRPr="000033C1">
        <w:rPr>
          <w:rFonts w:asciiTheme="majorHAnsi" w:hAnsiTheme="majorHAnsi" w:cstheme="majorHAnsi"/>
          <w:sz w:val="24"/>
        </w:rPr>
        <w:t>)</w:t>
      </w:r>
    </w:p>
    <w:p w14:paraId="0BAE1C95" w14:textId="63E066F7" w:rsidR="00BC1AD2" w:rsidRPr="000033C1" w:rsidRDefault="00BC1AD2"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Viabilidad económica</w:t>
      </w:r>
      <w:r w:rsidRPr="000033C1">
        <w:rPr>
          <w:rFonts w:asciiTheme="majorHAnsi" w:hAnsiTheme="majorHAnsi" w:cstheme="majorHAnsi"/>
          <w:sz w:val="24"/>
        </w:rPr>
        <w:t xml:space="preserve"> ( directamente proporcional al entendimiento entre los eslabones, apoyo financiero a iniciativas comercializadoras conjuntas y de gestión de cadena por parte de los productores ??, </w:t>
      </w:r>
      <w:r w:rsidRPr="000033C1">
        <w:rPr>
          <w:rFonts w:asciiTheme="majorHAnsi" w:hAnsiTheme="majorHAnsi" w:cstheme="majorHAnsi"/>
          <w:sz w:val="24"/>
        </w:rPr>
        <w:lastRenderedPageBreak/>
        <w:t>apoyo a centrales de compras</w:t>
      </w:r>
      <w:r w:rsidR="00062BC8" w:rsidRPr="000033C1">
        <w:rPr>
          <w:rFonts w:asciiTheme="majorHAnsi" w:hAnsiTheme="majorHAnsi" w:cstheme="majorHAnsi"/>
          <w:sz w:val="24"/>
        </w:rPr>
        <w:t xml:space="preserve"> e integración en la comercialización </w:t>
      </w:r>
      <w:r w:rsidRPr="000033C1">
        <w:rPr>
          <w:rFonts w:asciiTheme="majorHAnsi" w:hAnsiTheme="majorHAnsi" w:cstheme="majorHAnsi"/>
          <w:sz w:val="24"/>
        </w:rPr>
        <w:t>, fomento de canales cortos)</w:t>
      </w:r>
    </w:p>
    <w:p w14:paraId="318B37F4" w14:textId="77777777" w:rsidR="00BC1AD2" w:rsidRDefault="00BC1AD2" w:rsidP="000033C1">
      <w:pPr>
        <w:pStyle w:val="Prrafodelista"/>
        <w:numPr>
          <w:ilvl w:val="1"/>
          <w:numId w:val="29"/>
        </w:numPr>
        <w:spacing w:after="240" w:line="276" w:lineRule="auto"/>
        <w:jc w:val="both"/>
        <w:rPr>
          <w:rFonts w:asciiTheme="majorHAnsi" w:hAnsiTheme="majorHAnsi" w:cstheme="majorHAnsi"/>
          <w:sz w:val="24"/>
        </w:rPr>
      </w:pPr>
      <w:r w:rsidRPr="000033C1">
        <w:rPr>
          <w:rFonts w:asciiTheme="majorHAnsi" w:hAnsiTheme="majorHAnsi" w:cstheme="majorHAnsi"/>
          <w:sz w:val="24"/>
          <w:u w:val="single"/>
        </w:rPr>
        <w:t>Sinergias de cooperación</w:t>
      </w:r>
      <w:r w:rsidRPr="000033C1">
        <w:rPr>
          <w:rFonts w:asciiTheme="majorHAnsi" w:hAnsiTheme="majorHAnsi" w:cstheme="majorHAnsi"/>
          <w:sz w:val="24"/>
        </w:rPr>
        <w:t xml:space="preserve"> ( cooperación en la producción, comercialización y estrategias comunes)</w:t>
      </w:r>
    </w:p>
    <w:p w14:paraId="5247F764" w14:textId="7B5B5616" w:rsidR="009C7D90" w:rsidRPr="00C21C1A" w:rsidRDefault="009C7D90" w:rsidP="000033C1">
      <w:pPr>
        <w:pStyle w:val="Prrafodelista"/>
        <w:numPr>
          <w:ilvl w:val="1"/>
          <w:numId w:val="29"/>
        </w:numPr>
        <w:spacing w:after="240" w:line="276" w:lineRule="auto"/>
        <w:jc w:val="both"/>
        <w:rPr>
          <w:rFonts w:asciiTheme="majorHAnsi" w:hAnsiTheme="majorHAnsi" w:cstheme="majorHAnsi"/>
          <w:sz w:val="24"/>
        </w:rPr>
      </w:pPr>
      <w:r w:rsidRPr="00C21C1A">
        <w:rPr>
          <w:rFonts w:asciiTheme="majorHAnsi" w:hAnsiTheme="majorHAnsi" w:cstheme="majorHAnsi"/>
          <w:sz w:val="24"/>
          <w:u w:val="single"/>
        </w:rPr>
        <w:t>Papel de las organizaciones de productores en la gestión del mercado (regulación de la oferta)</w:t>
      </w:r>
    </w:p>
    <w:p w14:paraId="1B37ACC3" w14:textId="77777777" w:rsidR="001572E7" w:rsidRPr="00F3311F" w:rsidRDefault="001572E7" w:rsidP="00D4710E">
      <w:pPr>
        <w:spacing w:line="276" w:lineRule="auto"/>
        <w:jc w:val="both"/>
        <w:rPr>
          <w:rFonts w:asciiTheme="majorHAnsi" w:hAnsiTheme="majorHAnsi" w:cstheme="majorHAnsi"/>
          <w:sz w:val="22"/>
          <w:lang w:val="es-ES"/>
        </w:rPr>
      </w:pPr>
    </w:p>
    <w:p w14:paraId="3AF4B090" w14:textId="23AB882A" w:rsidR="00BC1AD2" w:rsidRPr="00F3311F" w:rsidRDefault="00BC1AD2" w:rsidP="00D4710E">
      <w:pPr>
        <w:pStyle w:val="Ttulo1"/>
        <w:numPr>
          <w:ilvl w:val="0"/>
          <w:numId w:val="1"/>
        </w:numPr>
        <w:spacing w:line="276" w:lineRule="auto"/>
        <w:rPr>
          <w:rFonts w:asciiTheme="majorHAnsi" w:hAnsiTheme="majorHAnsi" w:cstheme="majorHAnsi"/>
          <w:i/>
          <w:sz w:val="28"/>
          <w:lang w:val="es-ES"/>
        </w:rPr>
      </w:pPr>
      <w:bookmarkStart w:id="79" w:name="_Toc14695505"/>
      <w:r w:rsidRPr="00F3311F">
        <w:rPr>
          <w:rFonts w:asciiTheme="majorHAnsi" w:hAnsiTheme="majorHAnsi" w:cstheme="majorHAnsi"/>
          <w:sz w:val="28"/>
          <w:lang w:val="es-ES"/>
        </w:rPr>
        <w:t>Coherencia con otras políticas y compromisos</w:t>
      </w:r>
      <w:bookmarkEnd w:id="79"/>
      <w:r w:rsidRPr="00F3311F">
        <w:rPr>
          <w:rFonts w:asciiTheme="majorHAnsi" w:hAnsiTheme="majorHAnsi" w:cstheme="majorHAnsi"/>
          <w:sz w:val="28"/>
          <w:lang w:val="es-ES"/>
        </w:rPr>
        <w:t xml:space="preserve"> </w:t>
      </w:r>
    </w:p>
    <w:p w14:paraId="41EB7CB2" w14:textId="77777777" w:rsidR="001572E7" w:rsidRDefault="00BC1AD2" w:rsidP="00D4710E">
      <w:pPr>
        <w:spacing w:line="276" w:lineRule="auto"/>
        <w:jc w:val="both"/>
        <w:rPr>
          <w:rFonts w:asciiTheme="majorHAnsi" w:hAnsiTheme="majorHAnsi" w:cstheme="majorHAnsi"/>
          <w:sz w:val="22"/>
        </w:rPr>
      </w:pPr>
      <w:r w:rsidRPr="00F3311F">
        <w:rPr>
          <w:rFonts w:asciiTheme="majorHAnsi" w:hAnsiTheme="majorHAnsi" w:cstheme="majorHAnsi"/>
          <w:sz w:val="22"/>
        </w:rPr>
        <w:t xml:space="preserve"> </w:t>
      </w:r>
    </w:p>
    <w:p w14:paraId="06938083" w14:textId="4F77B0D2" w:rsidR="00BC1AD2" w:rsidRDefault="001572E7" w:rsidP="00D4710E">
      <w:pPr>
        <w:spacing w:line="276" w:lineRule="auto"/>
        <w:jc w:val="both"/>
        <w:rPr>
          <w:rFonts w:asciiTheme="majorHAnsi" w:hAnsiTheme="majorHAnsi" w:cstheme="majorHAnsi"/>
          <w:sz w:val="24"/>
        </w:rPr>
      </w:pPr>
      <w:r w:rsidRPr="001572E7">
        <w:rPr>
          <w:rFonts w:asciiTheme="majorHAnsi" w:hAnsiTheme="majorHAnsi" w:cstheme="majorHAnsi"/>
          <w:sz w:val="24"/>
        </w:rPr>
        <w:t>La importancia de este epígrafe radica en que</w:t>
      </w:r>
      <w:r w:rsidR="00BC1AD2" w:rsidRPr="001572E7">
        <w:rPr>
          <w:rFonts w:asciiTheme="majorHAnsi" w:hAnsiTheme="majorHAnsi" w:cstheme="majorHAnsi"/>
          <w:sz w:val="24"/>
        </w:rPr>
        <w:t xml:space="preserve"> la PAC debe demostrar el Valor AÑADIDO a la UE como política comunitaria, por ellos es importante ver la contribución y/o las sinergias </w:t>
      </w:r>
      <w:r w:rsidR="00F3311F" w:rsidRPr="001572E7">
        <w:rPr>
          <w:rFonts w:asciiTheme="majorHAnsi" w:hAnsiTheme="majorHAnsi" w:cstheme="majorHAnsi"/>
          <w:sz w:val="24"/>
        </w:rPr>
        <w:t>con:</w:t>
      </w:r>
      <w:r w:rsidR="00702F60">
        <w:rPr>
          <w:rFonts w:asciiTheme="majorHAnsi" w:hAnsiTheme="majorHAnsi" w:cstheme="majorHAnsi"/>
          <w:sz w:val="24"/>
        </w:rPr>
        <w:t xml:space="preserve"> (SG Cadena)</w:t>
      </w:r>
    </w:p>
    <w:p w14:paraId="1F7035A9" w14:textId="77777777" w:rsidR="00C21C1A" w:rsidRPr="001572E7" w:rsidRDefault="00C21C1A" w:rsidP="00D4710E">
      <w:pPr>
        <w:spacing w:line="276" w:lineRule="auto"/>
        <w:jc w:val="both"/>
        <w:rPr>
          <w:rFonts w:asciiTheme="majorHAnsi" w:hAnsiTheme="majorHAnsi" w:cstheme="majorHAnsi"/>
          <w:sz w:val="24"/>
        </w:rPr>
      </w:pPr>
    </w:p>
    <w:p w14:paraId="7B960D7E" w14:textId="77777777" w:rsidR="00BC1AD2" w:rsidRPr="00095EBA" w:rsidRDefault="00BC1AD2" w:rsidP="000033C1">
      <w:pPr>
        <w:pStyle w:val="Prrafodelista"/>
        <w:numPr>
          <w:ilvl w:val="1"/>
          <w:numId w:val="10"/>
        </w:numPr>
        <w:spacing w:line="276" w:lineRule="auto"/>
        <w:jc w:val="both"/>
        <w:rPr>
          <w:rFonts w:asciiTheme="majorHAnsi" w:hAnsiTheme="majorHAnsi" w:cstheme="majorHAnsi"/>
          <w:sz w:val="24"/>
          <w:u w:val="single"/>
        </w:rPr>
      </w:pPr>
      <w:r w:rsidRPr="00095EBA">
        <w:rPr>
          <w:rFonts w:asciiTheme="majorHAnsi" w:hAnsiTheme="majorHAnsi" w:cstheme="majorHAnsi"/>
          <w:sz w:val="24"/>
          <w:u w:val="single"/>
        </w:rPr>
        <w:t>Agenda 2030</w:t>
      </w:r>
    </w:p>
    <w:p w14:paraId="20533031" w14:textId="77777777" w:rsidR="00C66F48" w:rsidRPr="00292D56" w:rsidRDefault="00C66F48" w:rsidP="00D4710E">
      <w:pPr>
        <w:spacing w:line="276" w:lineRule="auto"/>
        <w:jc w:val="both"/>
        <w:rPr>
          <w:rFonts w:asciiTheme="majorHAnsi" w:hAnsiTheme="majorHAnsi" w:cstheme="majorHAnsi"/>
          <w:sz w:val="24"/>
        </w:rPr>
      </w:pPr>
      <w:r w:rsidRPr="00292D56">
        <w:rPr>
          <w:rFonts w:asciiTheme="majorHAnsi" w:hAnsiTheme="majorHAnsi" w:cstheme="majorHAnsi"/>
          <w:sz w:val="24"/>
        </w:rPr>
        <w:t xml:space="preserve">La </w:t>
      </w:r>
      <w:r w:rsidRPr="00292D56">
        <w:rPr>
          <w:rFonts w:asciiTheme="majorHAnsi" w:hAnsiTheme="majorHAnsi" w:cstheme="majorHAnsi"/>
          <w:b/>
          <w:sz w:val="24"/>
        </w:rPr>
        <w:t>Agenda 2030 para el Desarrollo Sostenible</w:t>
      </w:r>
      <w:r w:rsidRPr="00292D56">
        <w:rPr>
          <w:rFonts w:asciiTheme="majorHAnsi" w:hAnsiTheme="majorHAnsi" w:cstheme="majorHAnsi"/>
          <w:sz w:val="24"/>
        </w:rPr>
        <w:t xml:space="preserve"> es un Plan de Acción que nace del compromiso de los Estados Miembros de la ONU, cuyo objetivo es velar por la protección de las personas, el planeta y la prosperidad. Para ello, aborda </w:t>
      </w:r>
      <w:r w:rsidRPr="00292D56">
        <w:rPr>
          <w:rFonts w:asciiTheme="majorHAnsi" w:hAnsiTheme="majorHAnsi" w:cstheme="majorHAnsi"/>
          <w:b/>
          <w:sz w:val="24"/>
        </w:rPr>
        <w:t>17 Objetivos de Desarrollo Sostenible (ODS),</w:t>
      </w:r>
      <w:r w:rsidRPr="00292D56">
        <w:rPr>
          <w:rFonts w:asciiTheme="majorHAnsi" w:hAnsiTheme="majorHAnsi" w:cstheme="majorHAnsi"/>
          <w:sz w:val="24"/>
        </w:rPr>
        <w:t xml:space="preserve"> que se comprometen a implementar los Estados Miembros de la ONU mediante alianzas y la participación activa de la Administración Pública, el sector privado y la sociedad civil de aquí al año 2030.</w:t>
      </w:r>
    </w:p>
    <w:p w14:paraId="326C98E0" w14:textId="77777777" w:rsidR="00C66F48" w:rsidRPr="00C66F48" w:rsidRDefault="00C66F48" w:rsidP="00D4710E">
      <w:pPr>
        <w:pStyle w:val="Prrafodelista"/>
        <w:spacing w:line="276" w:lineRule="auto"/>
        <w:ind w:left="2461"/>
        <w:jc w:val="both"/>
        <w:rPr>
          <w:rFonts w:asciiTheme="majorHAnsi" w:hAnsiTheme="majorHAnsi" w:cstheme="majorHAnsi"/>
          <w:sz w:val="24"/>
          <w:lang w:val="es-ES_tradnl"/>
        </w:rPr>
      </w:pPr>
    </w:p>
    <w:p w14:paraId="0B319162" w14:textId="77777777" w:rsidR="00C66F48" w:rsidRDefault="00C66F48" w:rsidP="00D4710E">
      <w:pPr>
        <w:spacing w:line="276" w:lineRule="auto"/>
        <w:jc w:val="both"/>
        <w:rPr>
          <w:rFonts w:asciiTheme="majorHAnsi" w:hAnsiTheme="majorHAnsi" w:cstheme="majorHAnsi"/>
          <w:sz w:val="24"/>
        </w:rPr>
      </w:pPr>
      <w:r w:rsidRPr="00F61CE6">
        <w:rPr>
          <w:rFonts w:asciiTheme="majorHAnsi" w:hAnsiTheme="majorHAnsi" w:cstheme="majorHAnsi"/>
          <w:sz w:val="24"/>
        </w:rPr>
        <w:t xml:space="preserve">El Objetivo Específico 3 de la PAC, </w:t>
      </w:r>
      <w:r w:rsidRPr="00F61CE6">
        <w:rPr>
          <w:rFonts w:asciiTheme="majorHAnsi" w:hAnsiTheme="majorHAnsi" w:cstheme="majorHAnsi"/>
          <w:i/>
          <w:sz w:val="24"/>
        </w:rPr>
        <w:t>“Mejorar la posición de los agricultores en la cadena de valor”,</w:t>
      </w:r>
      <w:r w:rsidRPr="00F61CE6">
        <w:rPr>
          <w:rFonts w:asciiTheme="majorHAnsi" w:hAnsiTheme="majorHAnsi" w:cstheme="majorHAnsi"/>
          <w:sz w:val="24"/>
        </w:rPr>
        <w:t xml:space="preserve"> se encuentra muy relacionado con las metas de los siguientes ODS:</w:t>
      </w:r>
    </w:p>
    <w:p w14:paraId="53E5FE7F" w14:textId="77777777" w:rsidR="00062BC8" w:rsidRPr="00F61CE6" w:rsidRDefault="00062BC8" w:rsidP="00D4710E">
      <w:pPr>
        <w:spacing w:line="276" w:lineRule="auto"/>
        <w:jc w:val="both"/>
        <w:rPr>
          <w:rFonts w:asciiTheme="majorHAnsi" w:hAnsiTheme="majorHAnsi" w:cstheme="majorHAnsi"/>
          <w:sz w:val="24"/>
        </w:rPr>
      </w:pPr>
    </w:p>
    <w:p w14:paraId="07A32570" w14:textId="77777777" w:rsidR="00C66F48" w:rsidRPr="00F61CE6" w:rsidRDefault="00C66F48" w:rsidP="00D4710E">
      <w:pPr>
        <w:spacing w:line="276" w:lineRule="auto"/>
        <w:jc w:val="both"/>
        <w:rPr>
          <w:rFonts w:asciiTheme="majorHAnsi" w:hAnsiTheme="majorHAnsi" w:cstheme="majorHAnsi"/>
          <w:b/>
          <w:sz w:val="24"/>
        </w:rPr>
      </w:pPr>
      <w:r w:rsidRPr="00F61CE6">
        <w:rPr>
          <w:rFonts w:asciiTheme="majorHAnsi" w:hAnsiTheme="majorHAnsi" w:cstheme="majorHAnsi"/>
          <w:b/>
          <w:sz w:val="24"/>
        </w:rPr>
        <w:t>ODS 2. Hambre cero.</w:t>
      </w:r>
      <w:r w:rsidRPr="00F61CE6">
        <w:rPr>
          <w:rFonts w:asciiTheme="majorHAnsi" w:hAnsiTheme="majorHAnsi" w:cstheme="majorHAnsi"/>
          <w:sz w:val="24"/>
        </w:rPr>
        <w:t xml:space="preserve"> </w:t>
      </w:r>
      <w:r w:rsidRPr="00F61CE6">
        <w:rPr>
          <w:rFonts w:asciiTheme="majorHAnsi" w:hAnsiTheme="majorHAnsi" w:cstheme="majorHAnsi"/>
          <w:i/>
          <w:sz w:val="24"/>
        </w:rPr>
        <w:t>Poner fin al hambre, lograr la seguridad alimentaria y la mejora de la nutrición, promover la agricultura sostenible.</w:t>
      </w:r>
    </w:p>
    <w:p w14:paraId="18DFDC15"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Una de las metas de este objetivo consistiría en </w:t>
      </w:r>
      <w:r w:rsidRPr="00C66F48">
        <w:rPr>
          <w:rFonts w:asciiTheme="majorHAnsi" w:eastAsiaTheme="minorHAnsi" w:hAnsiTheme="majorHAnsi" w:cstheme="majorHAnsi"/>
          <w:b/>
          <w:sz w:val="24"/>
        </w:rPr>
        <w:t>mejorar la producción agrícola a pequeña escala,</w:t>
      </w:r>
      <w:r w:rsidRPr="00C66F48">
        <w:rPr>
          <w:rFonts w:asciiTheme="majorHAnsi" w:eastAsiaTheme="minorHAnsi" w:hAnsiTheme="majorHAnsi" w:cstheme="majorHAnsi"/>
          <w:sz w:val="24"/>
        </w:rPr>
        <w:t xml:space="preserve"> duplicando la productividad agrícola y los ingresos de los productores de alimentos a pequeña escala, entre otras, mediante un acceso seguro y equitativo a las tierras, a otros recursos e insumos de producción y a los conocimientos, los servicios financieros, los mercados y las oportunidades para añadir valor.</w:t>
      </w:r>
    </w:p>
    <w:p w14:paraId="5F0AD36A"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Otra de las metas consistiría en</w:t>
      </w:r>
      <w:r w:rsidRPr="00C66F48">
        <w:rPr>
          <w:rFonts w:asciiTheme="majorHAnsi" w:eastAsiaTheme="minorHAnsi" w:hAnsiTheme="majorHAnsi" w:cstheme="majorHAnsi"/>
          <w:b/>
          <w:sz w:val="24"/>
        </w:rPr>
        <w:t xml:space="preserve"> limitar la volatilidad de precios de los alimentos, </w:t>
      </w:r>
      <w:r w:rsidRPr="00C66F48">
        <w:rPr>
          <w:rFonts w:asciiTheme="majorHAnsi" w:eastAsiaTheme="minorHAnsi" w:hAnsiTheme="majorHAnsi" w:cstheme="majorHAnsi"/>
          <w:sz w:val="24"/>
        </w:rPr>
        <w:t xml:space="preserve">adoptando medidas para asegurar el buen funcionamiento de los mercados de productos básicos alimentarios y sus derivados y facilitar el acceso oportuno a la información sobre los mercados, incluso sobre las reservas de alimentos. </w:t>
      </w:r>
    </w:p>
    <w:p w14:paraId="3D5D75C8" w14:textId="77777777" w:rsidR="00C66F48" w:rsidRPr="00C66F48" w:rsidRDefault="00C66F48" w:rsidP="00D4710E">
      <w:pPr>
        <w:pStyle w:val="Prrafodelista"/>
        <w:spacing w:line="276" w:lineRule="auto"/>
        <w:ind w:left="2461"/>
        <w:jc w:val="both"/>
        <w:rPr>
          <w:rFonts w:asciiTheme="majorHAnsi" w:hAnsiTheme="majorHAnsi" w:cstheme="majorHAnsi"/>
          <w:b/>
          <w:sz w:val="24"/>
          <w:u w:val="single"/>
          <w:lang w:val="es-ES_tradnl"/>
        </w:rPr>
      </w:pPr>
    </w:p>
    <w:p w14:paraId="457C3F31" w14:textId="77777777" w:rsidR="00C66F48" w:rsidRPr="00C66F48" w:rsidRDefault="00C66F48" w:rsidP="00D4710E">
      <w:pPr>
        <w:spacing w:line="276" w:lineRule="auto"/>
        <w:jc w:val="both"/>
        <w:rPr>
          <w:rFonts w:asciiTheme="majorHAnsi" w:eastAsiaTheme="minorHAnsi" w:hAnsiTheme="majorHAnsi" w:cstheme="majorHAnsi"/>
          <w:i/>
          <w:sz w:val="24"/>
        </w:rPr>
      </w:pPr>
      <w:r w:rsidRPr="00C66F48">
        <w:rPr>
          <w:rFonts w:asciiTheme="majorHAnsi" w:eastAsiaTheme="minorHAnsi" w:hAnsiTheme="majorHAnsi" w:cstheme="majorHAnsi"/>
          <w:b/>
          <w:sz w:val="24"/>
        </w:rPr>
        <w:lastRenderedPageBreak/>
        <w:t xml:space="preserve">ODS 8. Trabajo decente y crecimiento económico. </w:t>
      </w:r>
      <w:r w:rsidRPr="00C66F48">
        <w:rPr>
          <w:rFonts w:asciiTheme="majorHAnsi" w:eastAsiaTheme="minorHAnsi" w:hAnsiTheme="majorHAnsi" w:cstheme="majorHAnsi"/>
          <w:i/>
          <w:sz w:val="24"/>
        </w:rPr>
        <w:t xml:space="preserve">Promover el crecimiento económico sostenido, inclusivo y sostenible, el empleo pleno y productivo y el trabajo decente para todos. </w:t>
      </w:r>
    </w:p>
    <w:p w14:paraId="4A9103DB"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Este ODS busca reducir la tasa de desempleo, mejorar las condiciones laborales y aumentar la productividad laboral.</w:t>
      </w:r>
    </w:p>
    <w:p w14:paraId="384DC638"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Una de las metas sería lograr niveles más elevados de productividad económica mediante la </w:t>
      </w:r>
      <w:r w:rsidRPr="00C66F48">
        <w:rPr>
          <w:rFonts w:asciiTheme="majorHAnsi" w:eastAsiaTheme="minorHAnsi" w:hAnsiTheme="majorHAnsi" w:cstheme="majorHAnsi"/>
          <w:b/>
          <w:sz w:val="24"/>
        </w:rPr>
        <w:t>diversificación, la modernización tecnológica y la innovación</w:t>
      </w:r>
      <w:r w:rsidRPr="00C66F48">
        <w:rPr>
          <w:rFonts w:asciiTheme="majorHAnsi" w:eastAsiaTheme="minorHAnsi" w:hAnsiTheme="majorHAnsi" w:cstheme="majorHAnsi"/>
          <w:sz w:val="24"/>
        </w:rPr>
        <w:t>, lo que redundaría en la mejora de la posición de los agricultores en la cadena de valor.</w:t>
      </w:r>
    </w:p>
    <w:p w14:paraId="1ABA2E22"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Otra de las metas sería el </w:t>
      </w:r>
      <w:r w:rsidRPr="00C66F48">
        <w:rPr>
          <w:rFonts w:asciiTheme="majorHAnsi" w:eastAsiaTheme="minorHAnsi" w:hAnsiTheme="majorHAnsi" w:cstheme="majorHAnsi"/>
          <w:b/>
          <w:sz w:val="24"/>
        </w:rPr>
        <w:t>fomento de la pequeña y mediana empresa</w:t>
      </w:r>
      <w:r w:rsidRPr="00C66F48">
        <w:rPr>
          <w:rFonts w:asciiTheme="majorHAnsi" w:eastAsiaTheme="minorHAnsi" w:hAnsiTheme="majorHAnsi" w:cstheme="majorHAnsi"/>
          <w:sz w:val="24"/>
        </w:rPr>
        <w:t>, promoviendo políticas orientadas al desarrollo que apoyen a las actividades productivas, la creación de puestos de trabajo decentes, el emprendimiento, etc.</w:t>
      </w:r>
    </w:p>
    <w:p w14:paraId="73889561"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Cabe destacar el </w:t>
      </w:r>
      <w:r w:rsidRPr="00C66F48">
        <w:rPr>
          <w:rFonts w:asciiTheme="majorHAnsi" w:eastAsiaTheme="minorHAnsi" w:hAnsiTheme="majorHAnsi" w:cstheme="majorHAnsi"/>
          <w:b/>
          <w:sz w:val="24"/>
        </w:rPr>
        <w:t>turismo sostenible</w:t>
      </w:r>
      <w:r w:rsidRPr="00C66F48">
        <w:rPr>
          <w:rFonts w:asciiTheme="majorHAnsi" w:eastAsiaTheme="minorHAnsi" w:hAnsiTheme="majorHAnsi" w:cstheme="majorHAnsi"/>
          <w:sz w:val="24"/>
        </w:rPr>
        <w:t xml:space="preserve">, que cree puestos de trabajo y promueva la cultura y los productos locales, lo que mejoraría la posición de los productores en la cadena de valor. </w:t>
      </w:r>
    </w:p>
    <w:p w14:paraId="59D7B1EF" w14:textId="77777777" w:rsidR="00C66F48" w:rsidRPr="00C66F48" w:rsidRDefault="00C66F48" w:rsidP="00D4710E">
      <w:pPr>
        <w:pStyle w:val="Prrafodelista"/>
        <w:spacing w:line="276" w:lineRule="auto"/>
        <w:ind w:left="2461"/>
        <w:jc w:val="both"/>
        <w:rPr>
          <w:rFonts w:asciiTheme="majorHAnsi" w:hAnsiTheme="majorHAnsi" w:cstheme="majorHAnsi"/>
          <w:sz w:val="24"/>
          <w:lang w:val="es-ES_tradnl"/>
        </w:rPr>
      </w:pPr>
    </w:p>
    <w:p w14:paraId="42D1F5DD"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b/>
          <w:sz w:val="24"/>
        </w:rPr>
        <w:t>ODS 9. Industria, innovación e infraestructura</w:t>
      </w:r>
      <w:r w:rsidRPr="00C66F48">
        <w:rPr>
          <w:rFonts w:asciiTheme="majorHAnsi" w:eastAsiaTheme="minorHAnsi" w:hAnsiTheme="majorHAnsi" w:cstheme="majorHAnsi"/>
          <w:sz w:val="24"/>
        </w:rPr>
        <w:t xml:space="preserve">. </w:t>
      </w:r>
      <w:r w:rsidRPr="00C66F48">
        <w:rPr>
          <w:rFonts w:asciiTheme="majorHAnsi" w:eastAsiaTheme="minorHAnsi" w:hAnsiTheme="majorHAnsi" w:cstheme="majorHAnsi"/>
          <w:i/>
          <w:sz w:val="24"/>
        </w:rPr>
        <w:t xml:space="preserve">Construir infraestructuras </w:t>
      </w:r>
      <w:proofErr w:type="spellStart"/>
      <w:r w:rsidRPr="00C66F48">
        <w:rPr>
          <w:rFonts w:asciiTheme="majorHAnsi" w:eastAsiaTheme="minorHAnsi" w:hAnsiTheme="majorHAnsi" w:cstheme="majorHAnsi"/>
          <w:i/>
          <w:sz w:val="24"/>
        </w:rPr>
        <w:t>resilientes</w:t>
      </w:r>
      <w:proofErr w:type="spellEnd"/>
      <w:r w:rsidRPr="00C66F48">
        <w:rPr>
          <w:rFonts w:asciiTheme="majorHAnsi" w:eastAsiaTheme="minorHAnsi" w:hAnsiTheme="majorHAnsi" w:cstheme="majorHAnsi"/>
          <w:i/>
          <w:sz w:val="24"/>
        </w:rPr>
        <w:t>, promover la industrialización inclusiva y sostenible y fomentar la innovación.</w:t>
      </w:r>
      <w:r w:rsidRPr="00C66F48">
        <w:rPr>
          <w:rFonts w:asciiTheme="majorHAnsi" w:eastAsiaTheme="minorHAnsi" w:hAnsiTheme="majorHAnsi" w:cstheme="majorHAnsi"/>
          <w:sz w:val="24"/>
        </w:rPr>
        <w:t xml:space="preserve"> </w:t>
      </w:r>
    </w:p>
    <w:p w14:paraId="0BD20989"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El desarrollo de infraestructuras fiables, sostenibles y de calidad constituye una garantía de vertebración territorial, cohesión social e igualdad de oportunidades. </w:t>
      </w:r>
    </w:p>
    <w:p w14:paraId="13C495FA"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Una de las metas sería incrementar el acceso de las pequeñas industrias y otras empresas a los </w:t>
      </w:r>
      <w:r w:rsidRPr="00C66F48">
        <w:rPr>
          <w:rFonts w:asciiTheme="majorHAnsi" w:eastAsiaTheme="minorHAnsi" w:hAnsiTheme="majorHAnsi" w:cstheme="majorHAnsi"/>
          <w:b/>
          <w:sz w:val="24"/>
        </w:rPr>
        <w:t xml:space="preserve">servicios financieros </w:t>
      </w:r>
      <w:r w:rsidRPr="00C66F48">
        <w:rPr>
          <w:rFonts w:asciiTheme="majorHAnsi" w:eastAsiaTheme="minorHAnsi" w:hAnsiTheme="majorHAnsi" w:cstheme="majorHAnsi"/>
          <w:sz w:val="24"/>
        </w:rPr>
        <w:t xml:space="preserve">y su integración en las cadenas de valor y los mercados. </w:t>
      </w:r>
    </w:p>
    <w:p w14:paraId="77BA5D0D"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Otra meta pasaría por </w:t>
      </w:r>
      <w:r w:rsidRPr="00C66F48">
        <w:rPr>
          <w:rFonts w:asciiTheme="majorHAnsi" w:eastAsiaTheme="minorHAnsi" w:hAnsiTheme="majorHAnsi" w:cstheme="majorHAnsi"/>
          <w:b/>
          <w:sz w:val="24"/>
        </w:rPr>
        <w:t xml:space="preserve">modernizar la infraestructura </w:t>
      </w:r>
      <w:r w:rsidRPr="00C66F48">
        <w:rPr>
          <w:rFonts w:asciiTheme="majorHAnsi" w:eastAsiaTheme="minorHAnsi" w:hAnsiTheme="majorHAnsi" w:cstheme="majorHAnsi"/>
          <w:sz w:val="24"/>
        </w:rPr>
        <w:t xml:space="preserve">y promover la utilización eficaz de recursos y la adopción de tecnología limpia. </w:t>
      </w:r>
    </w:p>
    <w:p w14:paraId="4390B5A2"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También es importante aumentar el acceso a la</w:t>
      </w:r>
      <w:r w:rsidRPr="00C66F48">
        <w:rPr>
          <w:rFonts w:asciiTheme="majorHAnsi" w:eastAsiaTheme="minorHAnsi" w:hAnsiTheme="majorHAnsi" w:cstheme="majorHAnsi"/>
          <w:b/>
          <w:sz w:val="24"/>
        </w:rPr>
        <w:t xml:space="preserve"> tecnología de la información y las comunicaciones</w:t>
      </w:r>
      <w:r w:rsidRPr="00C66F48">
        <w:rPr>
          <w:rFonts w:asciiTheme="majorHAnsi" w:eastAsiaTheme="minorHAnsi" w:hAnsiTheme="majorHAnsi" w:cstheme="majorHAnsi"/>
          <w:sz w:val="24"/>
        </w:rPr>
        <w:t xml:space="preserve"> (</w:t>
      </w:r>
      <w:proofErr w:type="spellStart"/>
      <w:r w:rsidRPr="00C66F48">
        <w:rPr>
          <w:rFonts w:asciiTheme="majorHAnsi" w:eastAsiaTheme="minorHAnsi" w:hAnsiTheme="majorHAnsi" w:cstheme="majorHAnsi"/>
          <w:sz w:val="24"/>
        </w:rPr>
        <w:t>TICs</w:t>
      </w:r>
      <w:proofErr w:type="spellEnd"/>
      <w:r w:rsidRPr="00C66F48">
        <w:rPr>
          <w:rFonts w:asciiTheme="majorHAnsi" w:eastAsiaTheme="minorHAnsi" w:hAnsiTheme="majorHAnsi" w:cstheme="majorHAnsi"/>
          <w:sz w:val="24"/>
        </w:rPr>
        <w:t xml:space="preserve">) promoviendo un acceso asequible y universal a Internet, de tal forma que los agricultores cuenten con un canal de comunicación directo y moderno con los consumidores. </w:t>
      </w:r>
    </w:p>
    <w:p w14:paraId="2194CFB6" w14:textId="77777777" w:rsidR="00C66F48" w:rsidRPr="00C66F48" w:rsidRDefault="00C66F48" w:rsidP="00D4710E">
      <w:pPr>
        <w:pStyle w:val="Prrafodelista"/>
        <w:spacing w:line="276" w:lineRule="auto"/>
        <w:ind w:left="2461"/>
        <w:jc w:val="both"/>
        <w:rPr>
          <w:rFonts w:asciiTheme="majorHAnsi" w:hAnsiTheme="majorHAnsi" w:cstheme="majorHAnsi"/>
          <w:i/>
          <w:sz w:val="24"/>
          <w:lang w:val="es-ES_tradnl"/>
        </w:rPr>
      </w:pPr>
    </w:p>
    <w:p w14:paraId="64F13402" w14:textId="77777777" w:rsidR="00C66F48" w:rsidRPr="00C66F48" w:rsidRDefault="00C66F48" w:rsidP="00D4710E">
      <w:pPr>
        <w:spacing w:line="276" w:lineRule="auto"/>
        <w:jc w:val="both"/>
        <w:rPr>
          <w:rFonts w:asciiTheme="majorHAnsi" w:eastAsiaTheme="minorHAnsi" w:hAnsiTheme="majorHAnsi" w:cstheme="majorHAnsi"/>
          <w:i/>
          <w:sz w:val="24"/>
        </w:rPr>
      </w:pPr>
      <w:r w:rsidRPr="00C66F48">
        <w:rPr>
          <w:rFonts w:asciiTheme="majorHAnsi" w:eastAsiaTheme="minorHAnsi" w:hAnsiTheme="majorHAnsi" w:cstheme="majorHAnsi"/>
          <w:b/>
          <w:sz w:val="24"/>
        </w:rPr>
        <w:t>ODS 12. Producción y consumo responsables</w:t>
      </w:r>
      <w:r w:rsidRPr="00C66F48">
        <w:rPr>
          <w:rFonts w:asciiTheme="majorHAnsi" w:eastAsiaTheme="minorHAnsi" w:hAnsiTheme="majorHAnsi" w:cstheme="majorHAnsi"/>
          <w:sz w:val="24"/>
        </w:rPr>
        <w:t xml:space="preserve">. </w:t>
      </w:r>
      <w:r w:rsidRPr="00C66F48">
        <w:rPr>
          <w:rFonts w:asciiTheme="majorHAnsi" w:eastAsiaTheme="minorHAnsi" w:hAnsiTheme="majorHAnsi" w:cstheme="majorHAnsi"/>
          <w:i/>
          <w:sz w:val="24"/>
        </w:rPr>
        <w:t>Garantizar modalidades de consumo y producción sostenibles.</w:t>
      </w:r>
    </w:p>
    <w:p w14:paraId="14652817"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Persigue una transición de los modelos económicos, productos y de consumo hacia la sostenibilidad. </w:t>
      </w:r>
    </w:p>
    <w:p w14:paraId="07BFBB66"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Una de las metas pasa por el </w:t>
      </w:r>
      <w:r w:rsidRPr="00C66F48">
        <w:rPr>
          <w:rFonts w:asciiTheme="majorHAnsi" w:eastAsiaTheme="minorHAnsi" w:hAnsiTheme="majorHAnsi" w:cstheme="majorHAnsi"/>
          <w:b/>
          <w:sz w:val="24"/>
        </w:rPr>
        <w:t>uso eficiente de los recursos naturales</w:t>
      </w:r>
      <w:r w:rsidRPr="00C66F48">
        <w:rPr>
          <w:rFonts w:asciiTheme="majorHAnsi" w:eastAsiaTheme="minorHAnsi" w:hAnsiTheme="majorHAnsi" w:cstheme="majorHAnsi"/>
          <w:sz w:val="24"/>
        </w:rPr>
        <w:t>, logrando una gestión sostenible que empezaría por los agricultores.</w:t>
      </w:r>
    </w:p>
    <w:p w14:paraId="6184DEA4"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Se prevé </w:t>
      </w:r>
      <w:r w:rsidRPr="00C66F48">
        <w:rPr>
          <w:rFonts w:asciiTheme="majorHAnsi" w:eastAsiaTheme="minorHAnsi" w:hAnsiTheme="majorHAnsi" w:cstheme="majorHAnsi"/>
          <w:b/>
          <w:sz w:val="24"/>
        </w:rPr>
        <w:t>reducir las pérdidas de alimentos</w:t>
      </w:r>
      <w:r w:rsidRPr="00C66F48">
        <w:rPr>
          <w:rFonts w:asciiTheme="majorHAnsi" w:eastAsiaTheme="minorHAnsi" w:hAnsiTheme="majorHAnsi" w:cstheme="majorHAnsi"/>
          <w:sz w:val="24"/>
        </w:rPr>
        <w:t xml:space="preserve"> en las cadenas de producción y suministro, incluidas las pérdidas posteriores a la cosecha, así como lograr la </w:t>
      </w:r>
      <w:r w:rsidRPr="00C66F48">
        <w:rPr>
          <w:rFonts w:asciiTheme="majorHAnsi" w:eastAsiaTheme="minorHAnsi" w:hAnsiTheme="majorHAnsi" w:cstheme="majorHAnsi"/>
          <w:b/>
          <w:sz w:val="24"/>
        </w:rPr>
        <w:t>gestión ecológicamente racional</w:t>
      </w:r>
      <w:r w:rsidRPr="00C66F48">
        <w:rPr>
          <w:rFonts w:asciiTheme="majorHAnsi" w:eastAsiaTheme="minorHAnsi" w:hAnsiTheme="majorHAnsi" w:cstheme="majorHAnsi"/>
          <w:sz w:val="24"/>
        </w:rPr>
        <w:t xml:space="preserve"> de los productos químicos y los desechos, minimizando sus efectos adversos en la salud y el medio ambiente. Una gestión ecológicamente sostenible por parte de los agricultores redundaría en una mejor posición de los mismos en la cadena de valor. </w:t>
      </w:r>
    </w:p>
    <w:p w14:paraId="415E2853" w14:textId="77777777" w:rsidR="00C66F48" w:rsidRPr="00C66F48" w:rsidRDefault="00C66F48" w:rsidP="00D4710E">
      <w:pPr>
        <w:pStyle w:val="Prrafodelista"/>
        <w:spacing w:line="276" w:lineRule="auto"/>
        <w:ind w:left="2461"/>
        <w:jc w:val="both"/>
        <w:rPr>
          <w:rFonts w:asciiTheme="majorHAnsi" w:hAnsiTheme="majorHAnsi" w:cstheme="majorHAnsi"/>
          <w:sz w:val="24"/>
        </w:rPr>
      </w:pPr>
    </w:p>
    <w:p w14:paraId="543DBD76" w14:textId="77777777" w:rsidR="00C66F48" w:rsidRPr="00C66F48" w:rsidRDefault="00C66F48" w:rsidP="00D4710E">
      <w:pPr>
        <w:spacing w:line="276" w:lineRule="auto"/>
        <w:jc w:val="both"/>
        <w:rPr>
          <w:rFonts w:asciiTheme="majorHAnsi" w:eastAsiaTheme="minorHAnsi" w:hAnsiTheme="majorHAnsi" w:cstheme="majorHAnsi"/>
          <w:i/>
          <w:sz w:val="24"/>
        </w:rPr>
      </w:pPr>
      <w:r w:rsidRPr="00C66F48">
        <w:rPr>
          <w:rFonts w:asciiTheme="majorHAnsi" w:eastAsiaTheme="minorHAnsi" w:hAnsiTheme="majorHAnsi" w:cstheme="majorHAnsi"/>
          <w:b/>
          <w:sz w:val="24"/>
        </w:rPr>
        <w:t>ODS 14. Vida submarina y ODS 15. Vida de ecosistemas terrestres</w:t>
      </w:r>
      <w:r w:rsidRPr="00C66F48">
        <w:rPr>
          <w:rFonts w:asciiTheme="majorHAnsi" w:eastAsiaTheme="minorHAnsi" w:hAnsiTheme="majorHAnsi" w:cstheme="majorHAnsi"/>
          <w:sz w:val="24"/>
        </w:rPr>
        <w:t xml:space="preserve">. </w:t>
      </w:r>
      <w:r w:rsidRPr="00C66F48">
        <w:rPr>
          <w:rFonts w:asciiTheme="majorHAnsi" w:eastAsiaTheme="minorHAnsi" w:hAnsiTheme="majorHAnsi" w:cstheme="majorHAnsi"/>
          <w:i/>
          <w:sz w:val="24"/>
        </w:rPr>
        <w:t xml:space="preserve">Conservar y utilizar sosteniblemente los océanos, los mares y los recursos marinos para el desarrollo sostenible. Gestionar sosteniblemente los bosques, luchar contra la desertificación, detener e invertir la degradación de las tierras y detener la pérdida de biodiversidad. </w:t>
      </w:r>
    </w:p>
    <w:p w14:paraId="5F9A3261" w14:textId="77777777" w:rsid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Estos dos objetivos se encuentran muy relacionados entre sí y con respecto al objetivo específico 3 de la PAC. </w:t>
      </w:r>
    </w:p>
    <w:p w14:paraId="39613A8F" w14:textId="77777777" w:rsidR="00062BC8" w:rsidRPr="00C66F48" w:rsidRDefault="00062BC8" w:rsidP="00D4710E">
      <w:pPr>
        <w:spacing w:line="276" w:lineRule="auto"/>
        <w:jc w:val="both"/>
        <w:rPr>
          <w:rFonts w:asciiTheme="majorHAnsi" w:eastAsiaTheme="minorHAnsi" w:hAnsiTheme="majorHAnsi" w:cstheme="majorHAnsi"/>
          <w:sz w:val="24"/>
        </w:rPr>
      </w:pPr>
    </w:p>
    <w:p w14:paraId="398B9D43"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b/>
          <w:sz w:val="24"/>
        </w:rPr>
        <w:t xml:space="preserve">La regulación de una explotación pesquera sostenible </w:t>
      </w:r>
      <w:r w:rsidRPr="00C66F48">
        <w:rPr>
          <w:rFonts w:asciiTheme="majorHAnsi" w:eastAsiaTheme="minorHAnsi" w:hAnsiTheme="majorHAnsi" w:cstheme="majorHAnsi"/>
          <w:sz w:val="24"/>
        </w:rPr>
        <w:t xml:space="preserve">es uno de los puntos a tener en cuenta, poniendo fin a la pesca excesiva e ilegal y las prácticas pesqueras destructivas, aplicando planes de gestión a fin de restablecer las poblaciones de peces y la productividad de los océanos. Una </w:t>
      </w:r>
      <w:r w:rsidRPr="00C66F48">
        <w:rPr>
          <w:rFonts w:asciiTheme="majorHAnsi" w:eastAsiaTheme="minorHAnsi" w:hAnsiTheme="majorHAnsi" w:cstheme="majorHAnsi"/>
          <w:b/>
          <w:sz w:val="24"/>
        </w:rPr>
        <w:t>gestión sostenible de la pesca, la acuicultura y el turismo</w:t>
      </w:r>
      <w:r w:rsidRPr="00C66F48">
        <w:rPr>
          <w:rFonts w:asciiTheme="majorHAnsi" w:eastAsiaTheme="minorHAnsi" w:hAnsiTheme="majorHAnsi" w:cstheme="majorHAnsi"/>
          <w:sz w:val="24"/>
        </w:rPr>
        <w:t xml:space="preserve"> redundaría en una mejor posición de los pescadores, en este caso, en la cadena de valor. </w:t>
      </w:r>
    </w:p>
    <w:p w14:paraId="3C1CEE01"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Otra meta consistiría en</w:t>
      </w:r>
      <w:r w:rsidRPr="00C66F48">
        <w:rPr>
          <w:rFonts w:asciiTheme="majorHAnsi" w:eastAsiaTheme="minorHAnsi" w:hAnsiTheme="majorHAnsi" w:cstheme="majorHAnsi"/>
          <w:b/>
          <w:sz w:val="24"/>
        </w:rPr>
        <w:t xml:space="preserve"> facilitar el acceso a los pescadores artesanales y de pequeña escala a los recursos marinos y los mercados, </w:t>
      </w:r>
      <w:r w:rsidRPr="00C66F48">
        <w:rPr>
          <w:rFonts w:asciiTheme="majorHAnsi" w:eastAsiaTheme="minorHAnsi" w:hAnsiTheme="majorHAnsi" w:cstheme="majorHAnsi"/>
          <w:sz w:val="24"/>
        </w:rPr>
        <w:t xml:space="preserve">mejorando, por consiguiente, su posición en la cadena de valor. </w:t>
      </w:r>
    </w:p>
    <w:p w14:paraId="3CE36DF6" w14:textId="77777777" w:rsidR="00C66F48" w:rsidRPr="00C66F48" w:rsidRDefault="00C66F48" w:rsidP="00D4710E">
      <w:pPr>
        <w:spacing w:line="276" w:lineRule="auto"/>
        <w:jc w:val="both"/>
        <w:rPr>
          <w:rFonts w:asciiTheme="majorHAnsi" w:eastAsiaTheme="minorHAnsi" w:hAnsiTheme="majorHAnsi" w:cstheme="majorHAnsi"/>
          <w:sz w:val="24"/>
        </w:rPr>
      </w:pPr>
      <w:r w:rsidRPr="00C66F48">
        <w:rPr>
          <w:rFonts w:asciiTheme="majorHAnsi" w:eastAsiaTheme="minorHAnsi" w:hAnsiTheme="majorHAnsi" w:cstheme="majorHAnsi"/>
          <w:sz w:val="24"/>
        </w:rPr>
        <w:t xml:space="preserve">Una </w:t>
      </w:r>
      <w:r w:rsidRPr="00C66F48">
        <w:rPr>
          <w:rFonts w:asciiTheme="majorHAnsi" w:eastAsiaTheme="minorHAnsi" w:hAnsiTheme="majorHAnsi" w:cstheme="majorHAnsi"/>
          <w:b/>
          <w:sz w:val="24"/>
        </w:rPr>
        <w:t>gestión sostenible</w:t>
      </w:r>
      <w:r w:rsidRPr="00C66F48">
        <w:rPr>
          <w:rFonts w:asciiTheme="majorHAnsi" w:eastAsiaTheme="minorHAnsi" w:hAnsiTheme="majorHAnsi" w:cstheme="majorHAnsi"/>
          <w:sz w:val="24"/>
        </w:rPr>
        <w:t xml:space="preserve"> de los agricultores en sus territorios redunda en una gestión sostenible global de los ecosistemas terrestres, reduciendo la desertificación, la deforestación y la pérdida de biodiversidad, lo que contribuye a su vez al desarrollo económico y social de las zonas rurales. </w:t>
      </w:r>
    </w:p>
    <w:p w14:paraId="74548D12" w14:textId="77777777" w:rsidR="00C66F48" w:rsidRPr="00F3311F" w:rsidRDefault="00C66F48" w:rsidP="00D4710E">
      <w:pPr>
        <w:pStyle w:val="Prrafodelista"/>
        <w:spacing w:line="276" w:lineRule="auto"/>
        <w:ind w:left="2461"/>
        <w:jc w:val="both"/>
        <w:rPr>
          <w:rFonts w:asciiTheme="majorHAnsi" w:hAnsiTheme="majorHAnsi" w:cstheme="majorHAnsi"/>
          <w:sz w:val="24"/>
        </w:rPr>
      </w:pPr>
    </w:p>
    <w:p w14:paraId="46909368" w14:textId="285791A3" w:rsidR="00BC1AD2" w:rsidRDefault="00BC1AD2" w:rsidP="000033C1">
      <w:pPr>
        <w:pStyle w:val="Prrafodelista"/>
        <w:numPr>
          <w:ilvl w:val="1"/>
          <w:numId w:val="10"/>
        </w:numPr>
        <w:spacing w:line="276" w:lineRule="auto"/>
        <w:ind w:left="567" w:hanging="283"/>
        <w:jc w:val="both"/>
        <w:rPr>
          <w:rFonts w:asciiTheme="majorHAnsi" w:hAnsiTheme="majorHAnsi" w:cstheme="majorHAnsi"/>
          <w:sz w:val="24"/>
        </w:rPr>
      </w:pPr>
      <w:r w:rsidRPr="00095EBA">
        <w:rPr>
          <w:rFonts w:asciiTheme="majorHAnsi" w:hAnsiTheme="majorHAnsi" w:cstheme="majorHAnsi"/>
          <w:sz w:val="24"/>
          <w:u w:val="single"/>
        </w:rPr>
        <w:t>Despoblamiento, reto demográfico</w:t>
      </w:r>
      <w:r w:rsidR="00062BC8">
        <w:rPr>
          <w:rFonts w:asciiTheme="majorHAnsi" w:hAnsiTheme="majorHAnsi" w:cstheme="majorHAnsi"/>
          <w:sz w:val="24"/>
        </w:rPr>
        <w:t xml:space="preserve"> ( Otro GT OBJETIVO PAC)</w:t>
      </w:r>
    </w:p>
    <w:p w14:paraId="377A4427" w14:textId="77777777" w:rsidR="00C66F48" w:rsidRPr="00C66F48" w:rsidRDefault="00C66F48" w:rsidP="00D4710E">
      <w:pPr>
        <w:pStyle w:val="Prrafodelista"/>
        <w:spacing w:line="276" w:lineRule="auto"/>
        <w:jc w:val="both"/>
        <w:rPr>
          <w:rFonts w:asciiTheme="majorHAnsi" w:hAnsiTheme="majorHAnsi" w:cstheme="majorHAnsi"/>
          <w:sz w:val="24"/>
        </w:rPr>
      </w:pPr>
    </w:p>
    <w:p w14:paraId="42764E70"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A mediados del siglo XX, la dificultad para vivir exclusivamente del sector primario y el desarrollo industrial originaron en España importantes movimientos migratorios del medio rural hacia entornos urbanos en busca de mejores oportunidades de empleo y renta. Posteriormente, la intensificación del uso de las tecnologías en la agricultura aumentó la productividad, pero expulsó más mano de obra rural. </w:t>
      </w:r>
    </w:p>
    <w:p w14:paraId="4FABF621"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130E28DB"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Hoy en día, el desempleo, particularmente entre los jóvenes, supone uno de los retos más acuciantes en España. La destrucción de empleo por la crisis económica y la creación de empleo en condiciones de precariedad </w:t>
      </w:r>
      <w:proofErr w:type="gramStart"/>
      <w:r w:rsidRPr="00C66F48">
        <w:rPr>
          <w:rFonts w:asciiTheme="majorHAnsi" w:hAnsiTheme="majorHAnsi" w:cstheme="majorHAnsi"/>
          <w:sz w:val="24"/>
          <w:lang w:val="es-ES_tradnl"/>
        </w:rPr>
        <w:t>constituye</w:t>
      </w:r>
      <w:proofErr w:type="gramEnd"/>
      <w:r w:rsidRPr="00C66F48">
        <w:rPr>
          <w:rFonts w:asciiTheme="majorHAnsi" w:hAnsiTheme="majorHAnsi" w:cstheme="majorHAnsi"/>
          <w:sz w:val="24"/>
          <w:lang w:val="es-ES_tradnl"/>
        </w:rPr>
        <w:t xml:space="preserve"> la principal fuente del aumento de la desigualdad y de la modificación de los perfiles de pobreza y exclusión social. </w:t>
      </w:r>
    </w:p>
    <w:p w14:paraId="21421D5F"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006D87C1"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Para mejorar la posición de los agricultores en la cadena de valor se hace imprescindible crear empleo y mejorar la calidad de vida de las zonas rurales, atrayendo a la población joven y ofreciendo una formación adecuada y de calidad para que encuentren en la agricultura un trabajo estable que les permita asentarse en las zonas rurales, asegurando </w:t>
      </w:r>
      <w:r w:rsidRPr="00C66F48">
        <w:rPr>
          <w:rFonts w:asciiTheme="majorHAnsi" w:hAnsiTheme="majorHAnsi" w:cstheme="majorHAnsi"/>
          <w:sz w:val="24"/>
          <w:lang w:val="es-ES_tradnl"/>
        </w:rPr>
        <w:lastRenderedPageBreak/>
        <w:t xml:space="preserve">además el relevo generacional, ya que en la actualidad la población agrícola y ganadera se encuentra muy envejecida. </w:t>
      </w:r>
    </w:p>
    <w:p w14:paraId="04FD9A1C"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100DD0FC"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Es importante resaltar que la ONU ha declarado el periodo de 2019 a 2028 como Decenio de la Agricultura Familiar. La agricultura familiar es un modelo de producción que implica a toda la familia, con los valores sociales, económicos y ambientales que ello conlleva: respeto al medio ambiente, protección de la biodiversidad, creación de empleo y lucha contra el despoblamiento. Es un modelo sostenible y de futuro, que garantiza un suministro de alimentos de calidad a un precio justo. </w:t>
      </w:r>
    </w:p>
    <w:p w14:paraId="7D1703FB"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6AB4DC74" w14:textId="7700AA19" w:rsid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Se deben promover, por tanto, políticas orientadas al desarrollo que apoyen las actividades productivas, la creación de puestos de trabajo y el emprendimiento, que atraigan a los jóvenes para su incorporación a la actividad agraria, así como para facilitar el desarrollo empresarial de esas zonas. Todo ello redundará en una mejora de la posición de los agricultores en la cadena de valor.</w:t>
      </w:r>
    </w:p>
    <w:p w14:paraId="394A05C5" w14:textId="77777777" w:rsidR="00062BC8" w:rsidRPr="00C66F48" w:rsidRDefault="00062BC8" w:rsidP="00D4710E">
      <w:pPr>
        <w:pStyle w:val="Prrafodelista"/>
        <w:spacing w:line="276" w:lineRule="auto"/>
        <w:ind w:left="0"/>
        <w:jc w:val="both"/>
        <w:rPr>
          <w:rFonts w:asciiTheme="majorHAnsi" w:hAnsiTheme="majorHAnsi" w:cstheme="majorHAnsi"/>
          <w:sz w:val="24"/>
          <w:lang w:val="es-ES_tradnl"/>
        </w:rPr>
      </w:pPr>
    </w:p>
    <w:p w14:paraId="3373E7B4" w14:textId="77777777" w:rsidR="00BC1AD2" w:rsidRPr="00095EBA" w:rsidRDefault="00BC1AD2" w:rsidP="000033C1">
      <w:pPr>
        <w:pStyle w:val="Prrafodelista"/>
        <w:numPr>
          <w:ilvl w:val="1"/>
          <w:numId w:val="10"/>
        </w:numPr>
        <w:spacing w:line="276" w:lineRule="auto"/>
        <w:ind w:left="567" w:hanging="476"/>
        <w:jc w:val="both"/>
        <w:rPr>
          <w:rFonts w:asciiTheme="majorHAnsi" w:hAnsiTheme="majorHAnsi" w:cstheme="majorHAnsi"/>
          <w:sz w:val="24"/>
          <w:u w:val="single"/>
        </w:rPr>
      </w:pPr>
      <w:r w:rsidRPr="00095EBA">
        <w:rPr>
          <w:rFonts w:asciiTheme="majorHAnsi" w:hAnsiTheme="majorHAnsi" w:cstheme="majorHAnsi"/>
          <w:sz w:val="24"/>
          <w:u w:val="single"/>
        </w:rPr>
        <w:t>Pymes</w:t>
      </w:r>
    </w:p>
    <w:p w14:paraId="61634272" w14:textId="77777777" w:rsidR="00C66F48" w:rsidRP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 xml:space="preserve">Con carácter general, el sector productor agrario se ve afectado por un alto nivel de atomización, en el que mayoritariamente se integran empresas de pequeña dimensión. La rigidez de la demanda, la estacionalidad y atomización de la oferta, la dispersión territorial o la generación de empleos vinculados al medio rural, son especificidades propias del sector agrario que le diferencian claramente de otros sectores económicos. </w:t>
      </w:r>
    </w:p>
    <w:p w14:paraId="37F8ED86" w14:textId="77777777" w:rsidR="00C66F48" w:rsidRPr="00C66F48" w:rsidRDefault="00C66F48" w:rsidP="00D4710E">
      <w:pPr>
        <w:pStyle w:val="Prrafodelista"/>
        <w:spacing w:line="276" w:lineRule="auto"/>
        <w:ind w:left="284"/>
        <w:jc w:val="both"/>
        <w:rPr>
          <w:rFonts w:asciiTheme="majorHAnsi" w:hAnsiTheme="majorHAnsi" w:cstheme="majorHAnsi"/>
          <w:sz w:val="24"/>
        </w:rPr>
      </w:pPr>
    </w:p>
    <w:p w14:paraId="63BD0CE9" w14:textId="77777777" w:rsidR="00C66F48" w:rsidRP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Las PYMES abastecen a las cadenas de valor y son una fuente importante de empleo e ingresos.</w:t>
      </w:r>
    </w:p>
    <w:p w14:paraId="66A541AD" w14:textId="77777777" w:rsidR="00C66F48" w:rsidRPr="00C66F48" w:rsidRDefault="00C66F48" w:rsidP="00D4710E">
      <w:pPr>
        <w:pStyle w:val="Prrafodelista"/>
        <w:spacing w:line="276" w:lineRule="auto"/>
        <w:ind w:left="0"/>
        <w:jc w:val="both"/>
        <w:rPr>
          <w:rFonts w:asciiTheme="majorHAnsi" w:hAnsiTheme="majorHAnsi" w:cstheme="majorHAnsi"/>
          <w:sz w:val="24"/>
        </w:rPr>
      </w:pPr>
    </w:p>
    <w:p w14:paraId="6CD56D6D" w14:textId="77777777" w:rsidR="00C66F48" w:rsidRP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 xml:space="preserve">Los pequeños agricultores y las PYMES son los que más expuestos están a la volatilidad de los mercados y a la falta de rentabilidad. Son vulnerables a las prácticas comerciales desleales empleadas por los socios de la cadena. Con frecuencia, no tienen poder de negociación ni formas alternativas para hacer llegar sus productos a los consumidores. </w:t>
      </w:r>
    </w:p>
    <w:p w14:paraId="52D3D7CC" w14:textId="77777777" w:rsidR="00C66F48" w:rsidRPr="00C66F48" w:rsidRDefault="00C66F48" w:rsidP="00D4710E">
      <w:pPr>
        <w:pStyle w:val="Prrafodelista"/>
        <w:spacing w:line="276" w:lineRule="auto"/>
        <w:ind w:left="0"/>
        <w:jc w:val="both"/>
        <w:rPr>
          <w:rFonts w:asciiTheme="majorHAnsi" w:hAnsiTheme="majorHAnsi" w:cstheme="majorHAnsi"/>
          <w:sz w:val="24"/>
        </w:rPr>
      </w:pPr>
    </w:p>
    <w:p w14:paraId="240A87D9" w14:textId="77777777" w:rsidR="00C66F48" w:rsidRP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La UE ha publicado recientemente la Directiva (UE) 2019/633, del Parlamento Europeo y del Consejo, de 17 de abril de 2019, relativa a las prácticas comerciales desleales en las relaciones entre empresas en la cadena de suministro agrícola y alimentario, en la que prohíbe las prácticas comerciales desleales más perjudiciales en la cadena de suministro de alimentos con objeto de garantizar un ¬trato más justo para los agricultores y las PYMES alimentarias y agrícolas. Además, incluye unas disposiciones que disponen que las autoridades nacionales podrán imponer sanciones en los casos en que se establezca que ha habido infracción.</w:t>
      </w:r>
    </w:p>
    <w:p w14:paraId="430A6866" w14:textId="77777777" w:rsidR="00C66F48" w:rsidRPr="00C66F48" w:rsidRDefault="00C66F48" w:rsidP="00D4710E">
      <w:pPr>
        <w:pStyle w:val="Prrafodelista"/>
        <w:spacing w:line="276" w:lineRule="auto"/>
        <w:ind w:left="0"/>
        <w:jc w:val="both"/>
        <w:rPr>
          <w:rFonts w:asciiTheme="majorHAnsi" w:hAnsiTheme="majorHAnsi" w:cstheme="majorHAnsi"/>
          <w:sz w:val="24"/>
        </w:rPr>
      </w:pPr>
    </w:p>
    <w:p w14:paraId="671E19D5" w14:textId="0153DF5C" w:rsid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De esta forma, se garantiza que estos operadores de la cadena de valor puedan competir en igualdad de condiciones, contribuyendo así a la eficacia global de la cadena y mejorando, por consiguiente, la posición de los agricultores en la cadena de valor.</w:t>
      </w:r>
    </w:p>
    <w:p w14:paraId="5394B30D" w14:textId="77777777" w:rsidR="00B64A58" w:rsidRPr="00B64A58" w:rsidRDefault="00B64A58" w:rsidP="000033C1">
      <w:pPr>
        <w:pStyle w:val="Prrafodelista"/>
        <w:numPr>
          <w:ilvl w:val="1"/>
          <w:numId w:val="10"/>
        </w:numPr>
        <w:spacing w:line="276" w:lineRule="auto"/>
        <w:jc w:val="both"/>
        <w:rPr>
          <w:rFonts w:asciiTheme="majorHAnsi" w:hAnsiTheme="majorHAnsi" w:cstheme="majorHAnsi"/>
          <w:sz w:val="24"/>
        </w:rPr>
      </w:pPr>
      <w:r w:rsidRPr="00B64A58">
        <w:rPr>
          <w:rFonts w:asciiTheme="majorHAnsi" w:hAnsiTheme="majorHAnsi" w:cstheme="majorHAnsi"/>
          <w:sz w:val="24"/>
        </w:rPr>
        <w:t>Protección del medioambiente</w:t>
      </w:r>
    </w:p>
    <w:p w14:paraId="264F9035" w14:textId="7EED2B83" w:rsidR="00B64A58" w:rsidRPr="00B64A58" w:rsidRDefault="00B64A58" w:rsidP="000033C1">
      <w:pPr>
        <w:pStyle w:val="Prrafodelista"/>
        <w:numPr>
          <w:ilvl w:val="1"/>
          <w:numId w:val="10"/>
        </w:numPr>
        <w:spacing w:line="276" w:lineRule="auto"/>
        <w:jc w:val="both"/>
        <w:rPr>
          <w:rFonts w:asciiTheme="majorHAnsi" w:hAnsiTheme="majorHAnsi" w:cstheme="majorHAnsi"/>
          <w:sz w:val="24"/>
        </w:rPr>
      </w:pPr>
      <w:r w:rsidRPr="00B64A58">
        <w:rPr>
          <w:rFonts w:asciiTheme="majorHAnsi" w:hAnsiTheme="majorHAnsi" w:cstheme="majorHAnsi"/>
          <w:sz w:val="24"/>
        </w:rPr>
        <w:t>Atenuación y adaptación cambio climático</w:t>
      </w:r>
    </w:p>
    <w:p w14:paraId="774E3543" w14:textId="70E2EA20" w:rsidR="00C66F48" w:rsidRPr="00B64A58" w:rsidRDefault="00BC1AD2" w:rsidP="000033C1">
      <w:pPr>
        <w:pStyle w:val="Prrafodelista"/>
        <w:numPr>
          <w:ilvl w:val="1"/>
          <w:numId w:val="10"/>
        </w:numPr>
        <w:spacing w:line="276" w:lineRule="auto"/>
        <w:jc w:val="both"/>
        <w:rPr>
          <w:rFonts w:asciiTheme="majorHAnsi" w:hAnsiTheme="majorHAnsi" w:cstheme="majorHAnsi"/>
          <w:sz w:val="24"/>
        </w:rPr>
      </w:pPr>
      <w:r w:rsidRPr="00F3311F">
        <w:rPr>
          <w:rFonts w:asciiTheme="majorHAnsi" w:hAnsiTheme="majorHAnsi" w:cstheme="majorHAnsi"/>
          <w:sz w:val="24"/>
        </w:rPr>
        <w:t>Economía Circular</w:t>
      </w:r>
    </w:p>
    <w:p w14:paraId="01051B6E"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Los residuos alimentarios se producen a lo largo de toda la cadena de valor, comenzando con los productores. </w:t>
      </w:r>
    </w:p>
    <w:p w14:paraId="3BF9EAE2"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7DB4A21C"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En el año 2015 la Comisión Europea adoptó un </w:t>
      </w:r>
      <w:r w:rsidRPr="00C66F48">
        <w:rPr>
          <w:rFonts w:asciiTheme="majorHAnsi" w:hAnsiTheme="majorHAnsi" w:cstheme="majorHAnsi"/>
          <w:b/>
          <w:sz w:val="24"/>
          <w:lang w:val="es-ES_tradnl"/>
        </w:rPr>
        <w:t>Plan de Acción</w:t>
      </w:r>
      <w:r w:rsidRPr="00C66F48">
        <w:rPr>
          <w:rFonts w:asciiTheme="majorHAnsi" w:hAnsiTheme="majorHAnsi" w:cstheme="majorHAnsi"/>
          <w:sz w:val="24"/>
          <w:lang w:val="es-ES_tradnl"/>
        </w:rPr>
        <w:t xml:space="preserve"> para contribuir a acelerar la transición de Europa hacia una economía circular, impulsar la competitividad mundial, promover el crecimiento económico sostenible y generar nuevos puestos de trabajo.</w:t>
      </w:r>
    </w:p>
    <w:p w14:paraId="15BC18D1"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6C10BB27"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El modelo económico actual es un modelo lineal, basado en “tomar-fabricar-consumir-eliminar”.  Este modelo es agresivo con el medio y agota las fuentes de suministro materiales como energéticas. Además, existe hay una fuerte dependencia de las materias primas, lo que conlleva precios elevados de las mismas y con mucha volatilidad, así como una reducción significativa del capital natural y las consiguientes pérdidas económicas.</w:t>
      </w:r>
    </w:p>
    <w:p w14:paraId="58E8ADF8"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7166E506" w14:textId="77777777" w:rsidR="00C66F48" w:rsidRPr="00C66F48" w:rsidRDefault="00C66F48" w:rsidP="00D4710E">
      <w:pPr>
        <w:pStyle w:val="Prrafodelista"/>
        <w:spacing w:line="276" w:lineRule="auto"/>
        <w:ind w:left="0"/>
        <w:jc w:val="both"/>
        <w:rPr>
          <w:rFonts w:asciiTheme="majorHAnsi" w:hAnsiTheme="majorHAnsi" w:cstheme="majorHAnsi"/>
          <w:sz w:val="24"/>
        </w:rPr>
      </w:pPr>
      <w:r w:rsidRPr="00C66F48">
        <w:rPr>
          <w:rFonts w:asciiTheme="majorHAnsi" w:hAnsiTheme="majorHAnsi" w:cstheme="majorHAnsi"/>
          <w:sz w:val="24"/>
        </w:rPr>
        <w:t xml:space="preserve">Se hace por tanto necesario iniciar una senda de transición para pasar de la economía lineal a la economía circular.  La </w:t>
      </w:r>
      <w:r w:rsidRPr="00C66F48">
        <w:rPr>
          <w:rFonts w:asciiTheme="majorHAnsi" w:hAnsiTheme="majorHAnsi" w:cstheme="majorHAnsi"/>
          <w:b/>
          <w:sz w:val="24"/>
        </w:rPr>
        <w:t>transición a una economía más circular</w:t>
      </w:r>
      <w:r w:rsidRPr="00C66F48">
        <w:rPr>
          <w:rFonts w:asciiTheme="majorHAnsi" w:hAnsiTheme="majorHAnsi" w:cstheme="majorHAnsi"/>
          <w:sz w:val="24"/>
        </w:rPr>
        <w:t>, en la cual el valor de los productos, los materiales y los recursos se mantenga en la economía durante el mayor tiempo posible, y en la que se reduzca al mínimo la generación de residuos, constituye una contribución esencial a los esfuerzos de la UE encaminados a lograr una economía sostenible, eficiente en el uso de los recursos y competitiva.</w:t>
      </w:r>
    </w:p>
    <w:p w14:paraId="136D0088"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57BA23DE"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r w:rsidRPr="00C66F48">
        <w:rPr>
          <w:rFonts w:asciiTheme="majorHAnsi" w:hAnsiTheme="majorHAnsi" w:cstheme="majorHAnsi"/>
          <w:sz w:val="24"/>
          <w:lang w:val="es-ES_tradnl"/>
        </w:rPr>
        <w:t xml:space="preserve">Los beneficios de la economía circular son múltiples: protege contra la volatilidad de los precios, crea puestos de trabajo locales, ahorra energía y reduce la contaminación de aire, suelos y aguas. En definitiva, contribuye al </w:t>
      </w:r>
      <w:r w:rsidRPr="00C66F48">
        <w:rPr>
          <w:rFonts w:asciiTheme="majorHAnsi" w:hAnsiTheme="majorHAnsi" w:cstheme="majorHAnsi"/>
          <w:b/>
          <w:sz w:val="24"/>
          <w:lang w:val="es-ES_tradnl"/>
        </w:rPr>
        <w:t>desarrollo sostenible</w:t>
      </w:r>
      <w:r w:rsidRPr="00C66F48">
        <w:rPr>
          <w:rFonts w:asciiTheme="majorHAnsi" w:hAnsiTheme="majorHAnsi" w:cstheme="majorHAnsi"/>
          <w:sz w:val="24"/>
          <w:lang w:val="es-ES_tradnl"/>
        </w:rPr>
        <w:t xml:space="preserve">. </w:t>
      </w:r>
    </w:p>
    <w:p w14:paraId="1AFED9E9" w14:textId="77777777" w:rsidR="00C66F48" w:rsidRPr="00C66F48" w:rsidRDefault="00C66F48" w:rsidP="00D4710E">
      <w:pPr>
        <w:pStyle w:val="Prrafodelista"/>
        <w:spacing w:line="276" w:lineRule="auto"/>
        <w:ind w:left="0"/>
        <w:jc w:val="both"/>
        <w:rPr>
          <w:rFonts w:asciiTheme="majorHAnsi" w:hAnsiTheme="majorHAnsi" w:cstheme="majorHAnsi"/>
          <w:sz w:val="24"/>
          <w:lang w:val="es-ES_tradnl"/>
        </w:rPr>
      </w:pPr>
    </w:p>
    <w:p w14:paraId="1EA66040" w14:textId="2B59EFAB" w:rsidR="00062BC8" w:rsidRDefault="00062BC8" w:rsidP="00D4710E">
      <w:pPr>
        <w:pStyle w:val="Prrafodelista"/>
        <w:spacing w:line="276" w:lineRule="auto"/>
        <w:ind w:left="0"/>
        <w:jc w:val="both"/>
        <w:rPr>
          <w:rFonts w:asciiTheme="majorHAnsi" w:hAnsiTheme="majorHAnsi" w:cstheme="majorHAnsi"/>
          <w:sz w:val="24"/>
          <w:lang w:val="es-ES_tradnl"/>
        </w:rPr>
      </w:pPr>
      <w:r>
        <w:rPr>
          <w:rFonts w:asciiTheme="majorHAnsi" w:hAnsiTheme="majorHAnsi" w:cstheme="majorHAnsi"/>
          <w:sz w:val="24"/>
          <w:lang w:val="es-ES_tradnl"/>
        </w:rPr>
        <w:t>Indicar que desde el Ministerio de Industria, Comercio y Turismo, se encuentra el Observatorio de la Pyme, donde el MAPA es miembro de la misma</w:t>
      </w:r>
    </w:p>
    <w:p w14:paraId="6FC735F6" w14:textId="231D051D" w:rsidR="00062BC8" w:rsidRDefault="00BC04DA" w:rsidP="00D4710E">
      <w:pPr>
        <w:pStyle w:val="Prrafodelista"/>
        <w:spacing w:line="276" w:lineRule="auto"/>
        <w:ind w:left="0"/>
        <w:jc w:val="both"/>
        <w:rPr>
          <w:rFonts w:asciiTheme="majorHAnsi" w:hAnsiTheme="majorHAnsi" w:cstheme="majorHAnsi"/>
          <w:sz w:val="24"/>
          <w:lang w:val="es-ES_tradnl"/>
        </w:rPr>
      </w:pPr>
      <w:hyperlink r:id="rId35" w:history="1">
        <w:r w:rsidR="00062BC8" w:rsidRPr="002545D6">
          <w:rPr>
            <w:rStyle w:val="Hipervnculo"/>
            <w:rFonts w:asciiTheme="majorHAnsi" w:hAnsiTheme="majorHAnsi" w:cstheme="majorHAnsi"/>
            <w:sz w:val="24"/>
            <w:lang w:val="es-ES_tradnl"/>
          </w:rPr>
          <w:t>http://www.ipyme.org/es-ES/Paginas/Home.aspx</w:t>
        </w:r>
      </w:hyperlink>
    </w:p>
    <w:p w14:paraId="08EF6E1B" w14:textId="77777777" w:rsidR="00062BC8" w:rsidRPr="00C66F48" w:rsidRDefault="00062BC8" w:rsidP="00D4710E">
      <w:pPr>
        <w:pStyle w:val="Prrafodelista"/>
        <w:spacing w:line="276" w:lineRule="auto"/>
        <w:ind w:left="0"/>
        <w:jc w:val="both"/>
        <w:rPr>
          <w:rFonts w:asciiTheme="majorHAnsi" w:hAnsiTheme="majorHAnsi" w:cstheme="majorHAnsi"/>
          <w:sz w:val="24"/>
          <w:lang w:val="es-ES_tradnl"/>
        </w:rPr>
      </w:pPr>
    </w:p>
    <w:p w14:paraId="3392C1C9" w14:textId="42681AF0" w:rsidR="00BC1AD2" w:rsidRPr="00095EBA" w:rsidRDefault="00BC1AD2" w:rsidP="000033C1">
      <w:pPr>
        <w:pStyle w:val="Prrafodelista"/>
        <w:numPr>
          <w:ilvl w:val="1"/>
          <w:numId w:val="10"/>
        </w:numPr>
        <w:spacing w:line="276" w:lineRule="auto"/>
        <w:ind w:left="851" w:hanging="567"/>
        <w:jc w:val="both"/>
        <w:rPr>
          <w:rFonts w:asciiTheme="majorHAnsi" w:hAnsiTheme="majorHAnsi" w:cstheme="majorHAnsi"/>
          <w:sz w:val="24"/>
          <w:u w:val="single"/>
        </w:rPr>
      </w:pPr>
      <w:r w:rsidRPr="00095EBA">
        <w:rPr>
          <w:rFonts w:asciiTheme="majorHAnsi" w:hAnsiTheme="majorHAnsi" w:cstheme="majorHAnsi"/>
          <w:sz w:val="24"/>
          <w:u w:val="single"/>
        </w:rPr>
        <w:t>Alimentación y Salud</w:t>
      </w:r>
      <w:r w:rsidR="00095EBA">
        <w:rPr>
          <w:rFonts w:asciiTheme="majorHAnsi" w:hAnsiTheme="majorHAnsi" w:cstheme="majorHAnsi"/>
          <w:sz w:val="24"/>
          <w:u w:val="single"/>
        </w:rPr>
        <w:t xml:space="preserve"> </w:t>
      </w:r>
      <w:r w:rsidR="00095EBA">
        <w:rPr>
          <w:rFonts w:asciiTheme="majorHAnsi" w:hAnsiTheme="majorHAnsi" w:cstheme="majorHAnsi"/>
          <w:sz w:val="24"/>
        </w:rPr>
        <w:t>( Otro GT OBJETIVO PAC)</w:t>
      </w:r>
    </w:p>
    <w:p w14:paraId="660500F4" w14:textId="77777777" w:rsidR="00B52986" w:rsidRPr="00B52986"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t>Los consumidores demandan alimentos cada vez más naturales, funcionales, sostenibles y de valor nutricional.</w:t>
      </w:r>
    </w:p>
    <w:p w14:paraId="6902774A" w14:textId="77777777" w:rsidR="00B52986" w:rsidRPr="00B52986" w:rsidRDefault="00B52986" w:rsidP="00D4710E">
      <w:pPr>
        <w:pStyle w:val="Prrafodelista"/>
        <w:spacing w:line="276" w:lineRule="auto"/>
        <w:ind w:left="0"/>
        <w:jc w:val="both"/>
        <w:rPr>
          <w:rFonts w:asciiTheme="majorHAnsi" w:hAnsiTheme="majorHAnsi" w:cstheme="majorHAnsi"/>
          <w:sz w:val="24"/>
        </w:rPr>
      </w:pPr>
    </w:p>
    <w:p w14:paraId="1EA74C3E" w14:textId="77777777" w:rsidR="00B52986" w:rsidRPr="00B52986"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lastRenderedPageBreak/>
        <w:t>Los productos químicos utilizados en la agricultura para combatir las plagas pueden causar efectos perjudiciales sobre la salud humana. A su vez, la calidad de los recursos naturales utilizados en la agricultura (agua, aire, suelos) constituye un factor fundamental para asegurar la calidad y productividad de las producciones agrícolas.</w:t>
      </w:r>
    </w:p>
    <w:p w14:paraId="1324B1C1" w14:textId="77777777" w:rsidR="00B52986" w:rsidRPr="00B52986" w:rsidRDefault="00B52986" w:rsidP="00D4710E">
      <w:pPr>
        <w:pStyle w:val="Prrafodelista"/>
        <w:spacing w:line="276" w:lineRule="auto"/>
        <w:ind w:left="0"/>
        <w:jc w:val="both"/>
        <w:rPr>
          <w:rFonts w:asciiTheme="majorHAnsi" w:hAnsiTheme="majorHAnsi" w:cstheme="majorHAnsi"/>
          <w:sz w:val="24"/>
        </w:rPr>
      </w:pPr>
    </w:p>
    <w:p w14:paraId="01C3FAAE" w14:textId="77777777" w:rsidR="00B52986" w:rsidRPr="00B52986"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t xml:space="preserve">La Organización Mundial de la Salud (OMS) y la Organización de las Naciones Unidas para la Alimentación y la Agricultura (FAO) han desarrollado el Código Internacional de Conducta para la Gestión de Plaguicidas, que proporciona un marco para maximizar los beneficios de los plaguicidas a fin de controlar con eficacia las plagas protegiendo a su vez la salud y el medio ambiente de sus efectos perjudiciales. </w:t>
      </w:r>
    </w:p>
    <w:p w14:paraId="56749637" w14:textId="77777777" w:rsidR="00B52986" w:rsidRPr="00B52986" w:rsidRDefault="00B52986" w:rsidP="00D4710E">
      <w:pPr>
        <w:pStyle w:val="Prrafodelista"/>
        <w:spacing w:line="276" w:lineRule="auto"/>
        <w:ind w:left="0"/>
        <w:jc w:val="both"/>
        <w:rPr>
          <w:rFonts w:asciiTheme="majorHAnsi" w:hAnsiTheme="majorHAnsi" w:cstheme="majorHAnsi"/>
          <w:sz w:val="24"/>
        </w:rPr>
      </w:pPr>
    </w:p>
    <w:p w14:paraId="51B38DE1" w14:textId="77777777" w:rsidR="00B52986" w:rsidRPr="00B52986"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t xml:space="preserve">La UE define la agricultura ecológica como aquella que se basa en un sistema sostenible que respeta el medio ambiente y el bienestar animal, pero también incluye todas las demás etapas de la cadena de suministro de alimentos (suministro de materias primas, procesamiento, almacenamiento, transporte, distribución y servicios minoristas). La agricultura ecológica permite obtener alimentos de la máxima calidad y libres de residuos químicos, respetando el medio ambiente gracias a la utilización óptima de los recursos naturales. </w:t>
      </w:r>
    </w:p>
    <w:p w14:paraId="7056CFAB" w14:textId="77777777" w:rsidR="00B52986" w:rsidRPr="00B52986" w:rsidRDefault="00B52986" w:rsidP="00D4710E">
      <w:pPr>
        <w:pStyle w:val="Prrafodelista"/>
        <w:spacing w:line="276" w:lineRule="auto"/>
        <w:ind w:left="0"/>
        <w:jc w:val="both"/>
        <w:rPr>
          <w:rFonts w:asciiTheme="majorHAnsi" w:hAnsiTheme="majorHAnsi" w:cstheme="majorHAnsi"/>
          <w:sz w:val="24"/>
        </w:rPr>
      </w:pPr>
    </w:p>
    <w:p w14:paraId="4D69D8A5" w14:textId="77777777" w:rsidR="00B52986" w:rsidRPr="00B52986"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t xml:space="preserve">El Reglamento (UE) 2018/848 del Parlamento Europeo y del Consejo, de 30 de mayo de 2018, sobre producción ecológica y etiquetado de los productos ecológicos, detalla cómo deben gestionarse las producciones y establece un sistema de etiquetado diseñado para informar a los consumidores de la procedencia ecológica de los productos que adquieren. </w:t>
      </w:r>
    </w:p>
    <w:p w14:paraId="70A8FFCA" w14:textId="77777777" w:rsidR="00B52986" w:rsidRPr="00B52986" w:rsidRDefault="00B52986" w:rsidP="00D4710E">
      <w:pPr>
        <w:pStyle w:val="Prrafodelista"/>
        <w:spacing w:line="276" w:lineRule="auto"/>
        <w:ind w:left="0"/>
        <w:jc w:val="both"/>
        <w:rPr>
          <w:rFonts w:asciiTheme="majorHAnsi" w:hAnsiTheme="majorHAnsi" w:cstheme="majorHAnsi"/>
          <w:sz w:val="24"/>
        </w:rPr>
      </w:pPr>
    </w:p>
    <w:p w14:paraId="7AA0FC96" w14:textId="1E69DE06" w:rsidR="00C66F48" w:rsidRDefault="00B52986" w:rsidP="00D4710E">
      <w:pPr>
        <w:pStyle w:val="Prrafodelista"/>
        <w:spacing w:line="276" w:lineRule="auto"/>
        <w:ind w:left="0"/>
        <w:jc w:val="both"/>
        <w:rPr>
          <w:rFonts w:asciiTheme="majorHAnsi" w:hAnsiTheme="majorHAnsi" w:cstheme="majorHAnsi"/>
          <w:sz w:val="24"/>
        </w:rPr>
      </w:pPr>
      <w:r w:rsidRPr="00B52986">
        <w:rPr>
          <w:rFonts w:asciiTheme="majorHAnsi" w:hAnsiTheme="majorHAnsi" w:cstheme="majorHAnsi"/>
          <w:sz w:val="24"/>
        </w:rPr>
        <w:t>La agricultura ecológica ejerce un efecto positivo en la percepción que tienen los consumidores hacia alimentos más sanos y saludables a la vez que respetuosos con la naturaleza por lo que, por ende, mejora la posición de los agricultores en la cadena de valor.</w:t>
      </w:r>
    </w:p>
    <w:p w14:paraId="13C9DC9A" w14:textId="77777777" w:rsidR="00015542" w:rsidRDefault="00015542" w:rsidP="00D4710E">
      <w:pPr>
        <w:pStyle w:val="Prrafodelista"/>
        <w:spacing w:line="276" w:lineRule="auto"/>
        <w:ind w:left="0"/>
        <w:jc w:val="both"/>
        <w:rPr>
          <w:rFonts w:asciiTheme="majorHAnsi" w:hAnsiTheme="majorHAnsi" w:cstheme="majorHAnsi"/>
          <w:sz w:val="24"/>
        </w:rPr>
      </w:pPr>
    </w:p>
    <w:p w14:paraId="4220B00D" w14:textId="6CE3743D" w:rsidR="00015542" w:rsidRDefault="00015542" w:rsidP="00D4710E">
      <w:pPr>
        <w:pStyle w:val="Prrafodelista"/>
        <w:spacing w:line="276" w:lineRule="auto"/>
        <w:ind w:left="0"/>
        <w:jc w:val="both"/>
        <w:rPr>
          <w:rFonts w:asciiTheme="majorHAnsi" w:hAnsiTheme="majorHAnsi" w:cstheme="majorHAnsi"/>
          <w:sz w:val="24"/>
        </w:rPr>
      </w:pPr>
      <w:r>
        <w:rPr>
          <w:rFonts w:asciiTheme="majorHAnsi" w:hAnsiTheme="majorHAnsi" w:cstheme="majorHAnsi"/>
          <w:sz w:val="24"/>
        </w:rPr>
        <w:t>Una dieta diversa, con equilibrio en la proporción de los nutrientes necesarios, vinculada a las producciones propias y a la proximidad de las producciones y a su estacionalidad, con buenas atribuciones científicas, tiene un nombre: Dieta Mediterránea</w:t>
      </w:r>
    </w:p>
    <w:p w14:paraId="5F7046F6" w14:textId="77777777" w:rsidR="00015542" w:rsidRPr="00F3311F" w:rsidRDefault="00015542" w:rsidP="00D4710E">
      <w:pPr>
        <w:pStyle w:val="Prrafodelista"/>
        <w:spacing w:line="276" w:lineRule="auto"/>
        <w:ind w:left="0"/>
        <w:jc w:val="both"/>
        <w:rPr>
          <w:rFonts w:asciiTheme="majorHAnsi" w:hAnsiTheme="majorHAnsi" w:cstheme="majorHAnsi"/>
          <w:sz w:val="24"/>
        </w:rPr>
      </w:pPr>
    </w:p>
    <w:p w14:paraId="04D27E3C" w14:textId="1734590A" w:rsidR="00BC1AD2" w:rsidRPr="00F3311F" w:rsidRDefault="00BC1AD2" w:rsidP="000033C1">
      <w:pPr>
        <w:pStyle w:val="Prrafodelista"/>
        <w:numPr>
          <w:ilvl w:val="1"/>
          <w:numId w:val="10"/>
        </w:numPr>
        <w:spacing w:line="276" w:lineRule="auto"/>
        <w:jc w:val="both"/>
        <w:rPr>
          <w:rFonts w:asciiTheme="majorHAnsi" w:hAnsiTheme="majorHAnsi" w:cstheme="majorHAnsi"/>
          <w:sz w:val="24"/>
        </w:rPr>
      </w:pPr>
      <w:r w:rsidRPr="00F3311F">
        <w:rPr>
          <w:rFonts w:asciiTheme="majorHAnsi" w:hAnsiTheme="majorHAnsi" w:cstheme="majorHAnsi"/>
          <w:sz w:val="24"/>
        </w:rPr>
        <w:t>Innovación</w:t>
      </w:r>
    </w:p>
    <w:p w14:paraId="469CC712" w14:textId="77777777" w:rsidR="00BC1AD2" w:rsidRPr="00F3311F" w:rsidRDefault="00BC1AD2" w:rsidP="00D4710E">
      <w:pPr>
        <w:spacing w:line="276" w:lineRule="auto"/>
        <w:jc w:val="both"/>
        <w:rPr>
          <w:rFonts w:asciiTheme="majorHAnsi" w:hAnsiTheme="majorHAnsi" w:cstheme="majorHAnsi"/>
          <w:sz w:val="22"/>
          <w:lang w:val="es-ES"/>
        </w:rPr>
      </w:pPr>
    </w:p>
    <w:p w14:paraId="048AF4B2"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r w:rsidRPr="00062BC8">
        <w:rPr>
          <w:rFonts w:asciiTheme="majorHAnsi" w:eastAsiaTheme="minorHAnsi" w:hAnsiTheme="majorHAnsi" w:cstheme="majorHAnsi"/>
          <w:sz w:val="24"/>
          <w:szCs w:val="22"/>
          <w:lang w:val="es-ES" w:eastAsia="en-US"/>
        </w:rPr>
        <w:t xml:space="preserve">Para lograr niveles más elevados de productividad económica se hace necesario la diversificación, la modernización tecnológica y la innovación. </w:t>
      </w:r>
    </w:p>
    <w:p w14:paraId="61D9FDFE"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p>
    <w:p w14:paraId="02F1F55C"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r w:rsidRPr="00062BC8">
        <w:rPr>
          <w:rFonts w:asciiTheme="majorHAnsi" w:eastAsiaTheme="minorHAnsi" w:hAnsiTheme="majorHAnsi" w:cstheme="majorHAnsi"/>
          <w:sz w:val="24"/>
          <w:szCs w:val="22"/>
          <w:lang w:val="es-ES" w:eastAsia="en-US"/>
        </w:rPr>
        <w:lastRenderedPageBreak/>
        <w:t xml:space="preserve">Se precisan innovaciones que mejoren la agricultura sostenible, contribuyan a hacer frente a los desafíos del cambio climático y aumenten la productividad y la renta. </w:t>
      </w:r>
    </w:p>
    <w:p w14:paraId="175E761C"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p>
    <w:p w14:paraId="1DE5BFAE"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r w:rsidRPr="00062BC8">
        <w:rPr>
          <w:rFonts w:asciiTheme="majorHAnsi" w:eastAsiaTheme="minorHAnsi" w:hAnsiTheme="majorHAnsi" w:cstheme="majorHAnsi"/>
          <w:sz w:val="24"/>
          <w:szCs w:val="22"/>
          <w:lang w:val="es-ES" w:eastAsia="en-US"/>
        </w:rPr>
        <w:t xml:space="preserve">La innovación pretende alcanzar una </w:t>
      </w:r>
      <w:r w:rsidRPr="00062BC8">
        <w:rPr>
          <w:rFonts w:asciiTheme="majorHAnsi" w:eastAsiaTheme="minorHAnsi" w:hAnsiTheme="majorHAnsi" w:cstheme="majorHAnsi"/>
          <w:b/>
          <w:sz w:val="24"/>
          <w:szCs w:val="22"/>
          <w:lang w:val="es-ES" w:eastAsia="en-US"/>
        </w:rPr>
        <w:t>agricultura más inteligente</w:t>
      </w:r>
      <w:r w:rsidRPr="00062BC8">
        <w:rPr>
          <w:rFonts w:asciiTheme="majorHAnsi" w:eastAsiaTheme="minorHAnsi" w:hAnsiTheme="majorHAnsi" w:cstheme="majorHAnsi"/>
          <w:sz w:val="24"/>
          <w:szCs w:val="22"/>
          <w:lang w:val="es-ES" w:eastAsia="en-US"/>
        </w:rPr>
        <w:t>, más productiva y sostenible, capaz de llevar la innovación de los laboratorios a los campos, de conectar a los agricultores con la economía digital y de reducir la fractura entre el medio rural y urbano.</w:t>
      </w:r>
    </w:p>
    <w:p w14:paraId="11F746D6"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p>
    <w:p w14:paraId="5665444D"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r w:rsidRPr="00062BC8">
        <w:rPr>
          <w:rFonts w:asciiTheme="majorHAnsi" w:eastAsiaTheme="minorHAnsi" w:hAnsiTheme="majorHAnsi" w:cstheme="majorHAnsi"/>
          <w:sz w:val="24"/>
          <w:szCs w:val="22"/>
          <w:lang w:val="es-ES" w:eastAsia="en-US"/>
        </w:rPr>
        <w:t xml:space="preserve">Para que la actividad agraria siga siendo rentable, los agricultores deben poner énfasis no solo en producir más y mejores alimentos, sino también en intentar ahorrar en sus costes de producción a través de los nuevos conocimientos científicos, de la investigación y la innovación técnica aplicada para un uso más eficaz, eficiente y sostenible de insumos (agricultura de precisión, digitalización), contando con el apoyo de una plena conectividad móvil y de las nuevas tecnologías (internet, Big data, </w:t>
      </w:r>
      <w:proofErr w:type="spellStart"/>
      <w:r w:rsidRPr="00062BC8">
        <w:rPr>
          <w:rFonts w:asciiTheme="majorHAnsi" w:eastAsiaTheme="minorHAnsi" w:hAnsiTheme="majorHAnsi" w:cstheme="majorHAnsi"/>
          <w:sz w:val="24"/>
          <w:szCs w:val="22"/>
          <w:lang w:val="es-ES" w:eastAsia="en-US"/>
        </w:rPr>
        <w:t>blockchain</w:t>
      </w:r>
      <w:proofErr w:type="spellEnd"/>
      <w:r w:rsidRPr="00062BC8">
        <w:rPr>
          <w:rFonts w:asciiTheme="majorHAnsi" w:eastAsiaTheme="minorHAnsi" w:hAnsiTheme="majorHAnsi" w:cstheme="majorHAnsi"/>
          <w:sz w:val="24"/>
          <w:szCs w:val="22"/>
          <w:lang w:val="es-ES" w:eastAsia="en-US"/>
        </w:rPr>
        <w:t>, etc.).</w:t>
      </w:r>
    </w:p>
    <w:p w14:paraId="05FA1F88"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p>
    <w:p w14:paraId="67986AE9" w14:textId="76516934" w:rsidR="00015542" w:rsidRDefault="00E94E62" w:rsidP="00D4710E">
      <w:pPr>
        <w:spacing w:line="276" w:lineRule="auto"/>
        <w:jc w:val="both"/>
        <w:rPr>
          <w:rFonts w:asciiTheme="majorHAnsi" w:eastAsiaTheme="minorHAnsi" w:hAnsiTheme="majorHAnsi" w:cstheme="majorHAnsi"/>
          <w:sz w:val="24"/>
          <w:szCs w:val="22"/>
          <w:lang w:val="es-ES" w:eastAsia="en-US"/>
        </w:rPr>
      </w:pPr>
      <w:r w:rsidRPr="00062BC8">
        <w:rPr>
          <w:rFonts w:asciiTheme="majorHAnsi" w:eastAsiaTheme="minorHAnsi" w:hAnsiTheme="majorHAnsi" w:cstheme="majorHAnsi"/>
          <w:sz w:val="24"/>
          <w:szCs w:val="22"/>
          <w:lang w:val="es-ES" w:eastAsia="en-US"/>
        </w:rPr>
        <w:t xml:space="preserve">La rentabilidad vendrá, fundamentalmente, por la diferenciación del producto. Se hace necesario detectar los segmentos que interesan al consumidor, que hoy en día busca en los alimentos que consume valores nutricionales, saludables y que, a su vez, sean sostenibles y respetuosos con el medio ambiente. Por tanto, la industria tendrá que ser más sostenible y eficiente en sus procesos y en sus productos a través de la innovación y el conocimiento. Todo ello redundará en una mejora de la posición de los agricultores en la cadena de valor. </w:t>
      </w:r>
    </w:p>
    <w:p w14:paraId="2C3DF51D" w14:textId="77777777" w:rsidR="00015542" w:rsidRDefault="00015542">
      <w:pPr>
        <w:rPr>
          <w:rFonts w:asciiTheme="majorHAnsi" w:eastAsiaTheme="minorHAnsi" w:hAnsiTheme="majorHAnsi" w:cstheme="majorHAnsi"/>
          <w:sz w:val="24"/>
          <w:szCs w:val="22"/>
          <w:lang w:val="es-ES" w:eastAsia="en-US"/>
        </w:rPr>
      </w:pPr>
      <w:r>
        <w:rPr>
          <w:rFonts w:asciiTheme="majorHAnsi" w:eastAsiaTheme="minorHAnsi" w:hAnsiTheme="majorHAnsi" w:cstheme="majorHAnsi"/>
          <w:sz w:val="24"/>
          <w:szCs w:val="22"/>
          <w:lang w:val="es-ES" w:eastAsia="en-US"/>
        </w:rPr>
        <w:br w:type="page"/>
      </w:r>
    </w:p>
    <w:p w14:paraId="30D4FF43" w14:textId="77777777" w:rsidR="00E94E62" w:rsidRPr="00062BC8" w:rsidRDefault="00E94E62" w:rsidP="00D4710E">
      <w:pPr>
        <w:spacing w:line="276" w:lineRule="auto"/>
        <w:jc w:val="both"/>
        <w:rPr>
          <w:rFonts w:asciiTheme="majorHAnsi" w:eastAsiaTheme="minorHAnsi" w:hAnsiTheme="majorHAnsi" w:cstheme="majorHAnsi"/>
          <w:sz w:val="24"/>
          <w:szCs w:val="22"/>
          <w:lang w:val="es-ES" w:eastAsia="en-US"/>
        </w:rPr>
      </w:pPr>
    </w:p>
    <w:p w14:paraId="709EFD98" w14:textId="089D6435" w:rsidR="007A2D41" w:rsidRPr="00062BC8" w:rsidRDefault="007A2D41" w:rsidP="00062BC8">
      <w:pPr>
        <w:spacing w:line="276" w:lineRule="auto"/>
        <w:jc w:val="both"/>
        <w:rPr>
          <w:rFonts w:asciiTheme="majorHAnsi" w:eastAsiaTheme="minorHAnsi" w:hAnsiTheme="majorHAnsi" w:cstheme="majorHAnsi"/>
          <w:sz w:val="24"/>
          <w:szCs w:val="22"/>
          <w:lang w:val="es-ES" w:eastAsia="en-US"/>
        </w:rPr>
      </w:pPr>
    </w:p>
    <w:p w14:paraId="5997D0AA" w14:textId="6D691C9E" w:rsidR="007A2D41" w:rsidRPr="00F3311F" w:rsidRDefault="00BC1AD2" w:rsidP="00D4710E">
      <w:pPr>
        <w:pStyle w:val="Ttulo1"/>
        <w:spacing w:line="276" w:lineRule="auto"/>
        <w:ind w:left="360"/>
        <w:rPr>
          <w:rFonts w:asciiTheme="majorHAnsi" w:hAnsiTheme="majorHAnsi" w:cstheme="majorHAnsi"/>
          <w:sz w:val="28"/>
        </w:rPr>
      </w:pPr>
      <w:bookmarkStart w:id="80" w:name="_Toc14695506"/>
      <w:r w:rsidRPr="00F3311F">
        <w:rPr>
          <w:rFonts w:asciiTheme="majorHAnsi" w:hAnsiTheme="majorHAnsi" w:cstheme="majorHAnsi"/>
          <w:sz w:val="28"/>
        </w:rPr>
        <w:t>ANEXO 1: Inventario de la información disponible</w:t>
      </w:r>
      <w:bookmarkEnd w:id="80"/>
    </w:p>
    <w:p w14:paraId="003006AA" w14:textId="77777777" w:rsidR="00B64A58" w:rsidRPr="00B64A58" w:rsidRDefault="00B64A58" w:rsidP="00D4710E">
      <w:pPr>
        <w:spacing w:line="276" w:lineRule="auto"/>
        <w:rPr>
          <w:rFonts w:asciiTheme="majorHAnsi" w:hAnsiTheme="majorHAnsi" w:cstheme="majorHAnsi"/>
          <w:sz w:val="24"/>
          <w:szCs w:val="24"/>
        </w:rPr>
      </w:pPr>
    </w:p>
    <w:p w14:paraId="4D7C4521" w14:textId="77777777" w:rsidR="00B64A58" w:rsidRDefault="00B64A58" w:rsidP="00D4710E">
      <w:pPr>
        <w:pStyle w:val="Prrafodelista"/>
        <w:spacing w:line="276" w:lineRule="auto"/>
        <w:rPr>
          <w:rFonts w:asciiTheme="majorHAnsi" w:hAnsiTheme="majorHAnsi" w:cstheme="majorHAnsi"/>
          <w:sz w:val="24"/>
          <w:szCs w:val="24"/>
        </w:rPr>
      </w:pPr>
    </w:p>
    <w:p w14:paraId="3374E49F" w14:textId="290FA2CC" w:rsidR="00B64A58" w:rsidRPr="00B64A58" w:rsidRDefault="00BC04DA" w:rsidP="000033C1">
      <w:pPr>
        <w:numPr>
          <w:ilvl w:val="0"/>
          <w:numId w:val="11"/>
        </w:numPr>
        <w:spacing w:line="276" w:lineRule="auto"/>
        <w:jc w:val="both"/>
        <w:rPr>
          <w:rFonts w:asciiTheme="minorHAnsi" w:hAnsiTheme="minorHAnsi" w:cstheme="minorHAnsi"/>
          <w:sz w:val="24"/>
          <w:szCs w:val="24"/>
          <w:lang w:val="es-ES"/>
        </w:rPr>
      </w:pPr>
      <w:hyperlink r:id="rId36" w:history="1">
        <w:r w:rsidR="00B64A58" w:rsidRPr="00B64A58">
          <w:rPr>
            <w:rStyle w:val="Hipervnculo"/>
            <w:rFonts w:asciiTheme="minorHAnsi" w:hAnsiTheme="minorHAnsi" w:cstheme="minorHAnsi"/>
            <w:sz w:val="24"/>
            <w:szCs w:val="24"/>
            <w:lang w:val="es-ES"/>
          </w:rPr>
          <w:t>https://www.mapa.gob.es/es/alimentacion/temas/calidad-agroalimentaria/analisistransmisionpreciosenesquemasdecalidadalimentarioseuropeosag2018_tcm30-482554.pdf</w:t>
        </w:r>
      </w:hyperlink>
    </w:p>
    <w:p w14:paraId="267383A0" w14:textId="0D527FA6" w:rsidR="00B64A58" w:rsidRPr="00B64A58" w:rsidRDefault="00BC04DA" w:rsidP="000033C1">
      <w:pPr>
        <w:numPr>
          <w:ilvl w:val="0"/>
          <w:numId w:val="11"/>
        </w:numPr>
        <w:spacing w:line="276" w:lineRule="auto"/>
        <w:jc w:val="both"/>
        <w:rPr>
          <w:rFonts w:asciiTheme="minorHAnsi" w:hAnsiTheme="minorHAnsi" w:cstheme="minorHAnsi"/>
          <w:sz w:val="24"/>
          <w:szCs w:val="24"/>
          <w:lang w:val="es-ES"/>
        </w:rPr>
      </w:pPr>
      <w:hyperlink r:id="rId37" w:history="1">
        <w:r w:rsidR="00B64A58" w:rsidRPr="00B64A58">
          <w:rPr>
            <w:rStyle w:val="Hipervnculo"/>
            <w:rFonts w:asciiTheme="minorHAnsi" w:hAnsiTheme="minorHAnsi" w:cstheme="minorHAnsi"/>
            <w:sz w:val="24"/>
            <w:szCs w:val="24"/>
            <w:lang w:val="es-ES"/>
          </w:rPr>
          <w:t>https://www.mapa.gob.es/es/alimentacion/temas/produccion-ecologica/estrategias-y-estudios/</w:t>
        </w:r>
      </w:hyperlink>
    </w:p>
    <w:p w14:paraId="388D5F20" w14:textId="77777777" w:rsidR="00B64A58" w:rsidRPr="00B64A58" w:rsidRDefault="00BC04DA" w:rsidP="000033C1">
      <w:pPr>
        <w:numPr>
          <w:ilvl w:val="0"/>
          <w:numId w:val="11"/>
        </w:numPr>
        <w:spacing w:line="276" w:lineRule="auto"/>
        <w:jc w:val="both"/>
        <w:rPr>
          <w:rFonts w:asciiTheme="minorHAnsi" w:hAnsiTheme="minorHAnsi" w:cstheme="minorHAnsi"/>
          <w:sz w:val="24"/>
          <w:szCs w:val="24"/>
          <w:lang w:val="es-ES"/>
        </w:rPr>
      </w:pPr>
      <w:hyperlink r:id="rId38" w:history="1">
        <w:r w:rsidR="00B64A58" w:rsidRPr="00B64A58">
          <w:rPr>
            <w:rStyle w:val="Hipervnculo"/>
            <w:rFonts w:asciiTheme="minorHAnsi" w:hAnsiTheme="minorHAnsi" w:cstheme="minorHAnsi"/>
            <w:sz w:val="24"/>
            <w:szCs w:val="24"/>
          </w:rPr>
          <w:t>Barometro de confianza del sector agroalimentario https://www.mapa.gob.es/es/alimentacion/temas/consumo-y-comercializacion-y-distribucion-alimentaria/barometro-del-clima-de-confianza-del-sector-agroalimentario/</w:t>
        </w:r>
      </w:hyperlink>
    </w:p>
    <w:p w14:paraId="22872BD7" w14:textId="77777777" w:rsidR="00B64A58" w:rsidRPr="00B64A58" w:rsidRDefault="00B64A58" w:rsidP="000033C1">
      <w:pPr>
        <w:numPr>
          <w:ilvl w:val="0"/>
          <w:numId w:val="11"/>
        </w:numPr>
        <w:spacing w:line="276" w:lineRule="auto"/>
        <w:jc w:val="both"/>
        <w:rPr>
          <w:rFonts w:asciiTheme="minorHAnsi" w:hAnsiTheme="minorHAnsi" w:cstheme="minorHAnsi"/>
          <w:sz w:val="24"/>
          <w:szCs w:val="24"/>
          <w:lang w:val="es-ES"/>
        </w:rPr>
      </w:pPr>
      <w:r w:rsidRPr="00B64A58">
        <w:rPr>
          <w:rFonts w:asciiTheme="minorHAnsi" w:hAnsiTheme="minorHAnsi" w:cstheme="minorHAnsi"/>
          <w:sz w:val="24"/>
          <w:szCs w:val="24"/>
          <w:lang w:val="es-ES"/>
        </w:rPr>
        <w:t>Comunicación de la Comisión sobre  “El futuro de los alimentos y la agricultura”</w:t>
      </w:r>
      <w:r w:rsidRPr="00B64A58">
        <w:rPr>
          <w:rFonts w:asciiTheme="minorHAnsi" w:hAnsiTheme="minorHAnsi" w:cstheme="minorHAnsi"/>
          <w:sz w:val="24"/>
          <w:szCs w:val="24"/>
        </w:rPr>
        <w:t xml:space="preserve"> </w:t>
      </w:r>
      <w:hyperlink r:id="rId39" w:history="1">
        <w:r w:rsidRPr="00B64A58">
          <w:rPr>
            <w:rFonts w:asciiTheme="minorHAnsi" w:hAnsiTheme="minorHAnsi" w:cstheme="minorHAnsi"/>
            <w:color w:val="0000FF"/>
            <w:sz w:val="24"/>
            <w:szCs w:val="24"/>
            <w:u w:val="single"/>
          </w:rPr>
          <w:t>https://ec.europa.eu/agriculture/sites/agriculture/files/future-of-cap/future_of_food_and_farming_communication_es.pdf</w:t>
        </w:r>
      </w:hyperlink>
    </w:p>
    <w:p w14:paraId="4DAB10BB" w14:textId="77777777" w:rsidR="00062BC8" w:rsidRDefault="00B64A58" w:rsidP="000033C1">
      <w:pPr>
        <w:numPr>
          <w:ilvl w:val="0"/>
          <w:numId w:val="11"/>
        </w:numPr>
        <w:spacing w:line="276" w:lineRule="auto"/>
        <w:jc w:val="both"/>
        <w:rPr>
          <w:rFonts w:asciiTheme="minorHAnsi" w:hAnsiTheme="minorHAnsi" w:cstheme="minorHAnsi"/>
          <w:sz w:val="24"/>
          <w:szCs w:val="24"/>
          <w:lang w:val="es-ES"/>
        </w:rPr>
      </w:pPr>
      <w:r w:rsidRPr="00B64A58">
        <w:rPr>
          <w:rFonts w:asciiTheme="minorHAnsi" w:hAnsiTheme="minorHAnsi" w:cstheme="minorHAnsi"/>
          <w:sz w:val="24"/>
          <w:szCs w:val="24"/>
          <w:lang w:val="es-ES"/>
        </w:rPr>
        <w:t xml:space="preserve">Contribución del Sistema Agroalimentario a la Economía Española. </w:t>
      </w:r>
      <w:proofErr w:type="spellStart"/>
      <w:r w:rsidRPr="00B64A58">
        <w:rPr>
          <w:rFonts w:asciiTheme="minorHAnsi" w:hAnsiTheme="minorHAnsi" w:cstheme="minorHAnsi"/>
          <w:sz w:val="24"/>
          <w:szCs w:val="24"/>
          <w:lang w:val="es-ES"/>
        </w:rPr>
        <w:t>Agrinfo</w:t>
      </w:r>
      <w:proofErr w:type="spellEnd"/>
      <w:r w:rsidRPr="00B64A58">
        <w:rPr>
          <w:rFonts w:asciiTheme="minorHAnsi" w:hAnsiTheme="minorHAnsi" w:cstheme="minorHAnsi"/>
          <w:sz w:val="24"/>
          <w:szCs w:val="24"/>
          <w:lang w:val="es-ES"/>
        </w:rPr>
        <w:t xml:space="preserve"> 29.Octubre 2018 MAPA</w:t>
      </w:r>
      <w:r>
        <w:rPr>
          <w:rFonts w:asciiTheme="minorHAnsi" w:hAnsiTheme="minorHAnsi" w:cstheme="minorHAnsi"/>
          <w:sz w:val="24"/>
          <w:szCs w:val="24"/>
          <w:lang w:val="es-ES"/>
        </w:rPr>
        <w:t>.</w:t>
      </w:r>
    </w:p>
    <w:p w14:paraId="36A98915" w14:textId="36ADA236" w:rsidR="00B64A58" w:rsidRPr="00B64A58" w:rsidRDefault="00B64A58" w:rsidP="000033C1">
      <w:pPr>
        <w:numPr>
          <w:ilvl w:val="0"/>
          <w:numId w:val="11"/>
        </w:numPr>
        <w:spacing w:line="276" w:lineRule="auto"/>
        <w:jc w:val="both"/>
        <w:rPr>
          <w:rFonts w:asciiTheme="minorHAnsi" w:hAnsiTheme="minorHAnsi" w:cstheme="minorHAnsi"/>
          <w:sz w:val="24"/>
          <w:szCs w:val="24"/>
          <w:lang w:val="es-ES"/>
        </w:rPr>
      </w:pPr>
      <w:r w:rsidRPr="00B64A58">
        <w:rPr>
          <w:rFonts w:asciiTheme="minorHAnsi" w:hAnsiTheme="minorHAnsi" w:cstheme="minorHAnsi"/>
          <w:sz w:val="24"/>
          <w:szCs w:val="24"/>
          <w:lang w:val="es-ES"/>
        </w:rPr>
        <w:t xml:space="preserve"> </w:t>
      </w:r>
      <w:hyperlink r:id="rId40" w:history="1">
        <w:r w:rsidRPr="00B64A58">
          <w:rPr>
            <w:rStyle w:val="Hipervnculo"/>
            <w:rFonts w:asciiTheme="minorHAnsi" w:hAnsiTheme="minorHAnsi" w:cstheme="minorHAnsi"/>
            <w:sz w:val="24"/>
            <w:szCs w:val="24"/>
            <w:lang w:val="es-ES"/>
          </w:rPr>
          <w:t>https://www.mapa.gob.es/es/ministerio/servicios/analisis-y-prospectiva/vabdelsae2016_tcm30-482367.pdf</w:t>
        </w:r>
      </w:hyperlink>
    </w:p>
    <w:p w14:paraId="20FCCA64" w14:textId="77777777" w:rsidR="00B64A58" w:rsidRPr="00B64A58" w:rsidRDefault="00B64A58" w:rsidP="000033C1">
      <w:pPr>
        <w:numPr>
          <w:ilvl w:val="0"/>
          <w:numId w:val="11"/>
        </w:numPr>
        <w:spacing w:line="276" w:lineRule="auto"/>
        <w:rPr>
          <w:rFonts w:asciiTheme="minorHAnsi" w:hAnsiTheme="minorHAnsi" w:cstheme="minorHAnsi"/>
          <w:sz w:val="24"/>
          <w:szCs w:val="24"/>
          <w:lang w:val="es-ES"/>
        </w:rPr>
      </w:pPr>
      <w:r w:rsidRPr="00B64A58">
        <w:rPr>
          <w:rFonts w:asciiTheme="minorHAnsi" w:hAnsiTheme="minorHAnsi" w:cstheme="minorHAnsi"/>
          <w:sz w:val="24"/>
          <w:szCs w:val="24"/>
          <w:lang w:val="es-ES"/>
        </w:rPr>
        <w:t xml:space="preserve">Departamento de Aduanas e Impuestos Especiales. Comercio Alimentarlo Transformado 2018. Partidas TARIC: 02, 04, 09, 11, 15, 16, 17, 18, 19, 20, 21, 22, 23 y parte de partidas 03, 05, 07, 08, 10, 12 y 35. Nota metodológica </w:t>
      </w:r>
    </w:p>
    <w:p w14:paraId="1CED170D" w14:textId="77777777" w:rsidR="00B64A58" w:rsidRPr="00B64A58" w:rsidRDefault="00B64A58" w:rsidP="000033C1">
      <w:pPr>
        <w:pStyle w:val="Prrafodelista"/>
        <w:numPr>
          <w:ilvl w:val="1"/>
          <w:numId w:val="11"/>
        </w:numPr>
        <w:spacing w:line="276" w:lineRule="auto"/>
        <w:jc w:val="both"/>
        <w:rPr>
          <w:rFonts w:asciiTheme="minorHAnsi" w:hAnsiTheme="minorHAnsi" w:cstheme="minorHAnsi"/>
          <w:sz w:val="24"/>
          <w:szCs w:val="24"/>
        </w:rPr>
      </w:pPr>
      <w:r w:rsidRPr="00B64A58">
        <w:rPr>
          <w:rFonts w:asciiTheme="minorHAnsi" w:hAnsiTheme="minorHAnsi" w:cstheme="minorHAnsi"/>
          <w:sz w:val="24"/>
          <w:szCs w:val="24"/>
        </w:rPr>
        <w:t xml:space="preserve">El comprador de productos eco y </w:t>
      </w:r>
      <w:proofErr w:type="spellStart"/>
      <w:r w:rsidRPr="00B64A58">
        <w:rPr>
          <w:rFonts w:asciiTheme="minorHAnsi" w:hAnsiTheme="minorHAnsi" w:cstheme="minorHAnsi"/>
          <w:sz w:val="24"/>
          <w:szCs w:val="24"/>
        </w:rPr>
        <w:t>bio</w:t>
      </w:r>
      <w:proofErr w:type="spellEnd"/>
      <w:r w:rsidRPr="00B64A58">
        <w:rPr>
          <w:rFonts w:asciiTheme="minorHAnsi" w:hAnsiTheme="minorHAnsi" w:cstheme="minorHAnsi"/>
          <w:sz w:val="24"/>
          <w:szCs w:val="24"/>
        </w:rPr>
        <w:t xml:space="preserve"> (</w:t>
      </w:r>
      <w:proofErr w:type="spellStart"/>
      <w:r w:rsidRPr="00B64A58">
        <w:rPr>
          <w:rFonts w:asciiTheme="minorHAnsi" w:hAnsiTheme="minorHAnsi" w:cstheme="minorHAnsi"/>
          <w:sz w:val="24"/>
          <w:szCs w:val="24"/>
        </w:rPr>
        <w:t>ppt</w:t>
      </w:r>
      <w:proofErr w:type="spellEnd"/>
      <w:r w:rsidRPr="00B64A58">
        <w:rPr>
          <w:rFonts w:asciiTheme="minorHAnsi" w:hAnsiTheme="minorHAnsi" w:cstheme="minorHAnsi"/>
          <w:sz w:val="24"/>
          <w:szCs w:val="24"/>
        </w:rPr>
        <w:t xml:space="preserve"> de la Jornada sobre alimentos eco 05/04)</w:t>
      </w:r>
    </w:p>
    <w:p w14:paraId="4E9A1474" w14:textId="77777777" w:rsidR="00B64A58" w:rsidRPr="00B64A58" w:rsidRDefault="00B64A58" w:rsidP="000033C1">
      <w:pPr>
        <w:pStyle w:val="Prrafodelista"/>
        <w:numPr>
          <w:ilvl w:val="1"/>
          <w:numId w:val="11"/>
        </w:numPr>
        <w:spacing w:line="276" w:lineRule="auto"/>
        <w:jc w:val="both"/>
        <w:rPr>
          <w:rFonts w:asciiTheme="minorHAnsi" w:hAnsiTheme="minorHAnsi" w:cstheme="minorHAnsi"/>
          <w:sz w:val="24"/>
          <w:szCs w:val="24"/>
        </w:rPr>
      </w:pPr>
      <w:r w:rsidRPr="00B64A58">
        <w:rPr>
          <w:rFonts w:asciiTheme="minorHAnsi" w:hAnsiTheme="minorHAnsi" w:cstheme="minorHAnsi"/>
          <w:sz w:val="24"/>
          <w:szCs w:val="24"/>
          <w:lang w:val="es-ES_tradnl"/>
        </w:rPr>
        <w:t xml:space="preserve">Estudios del </w:t>
      </w:r>
      <w:r w:rsidRPr="00B64A58">
        <w:rPr>
          <w:rFonts w:asciiTheme="minorHAnsi" w:hAnsiTheme="minorHAnsi" w:cstheme="minorHAnsi"/>
          <w:sz w:val="24"/>
          <w:szCs w:val="24"/>
        </w:rPr>
        <w:t>perfil del consumidor ecológico</w:t>
      </w:r>
    </w:p>
    <w:p w14:paraId="080F91F7" w14:textId="77777777" w:rsidR="00B64A58" w:rsidRPr="00B64A58" w:rsidRDefault="00BC04DA" w:rsidP="000033C1">
      <w:pPr>
        <w:numPr>
          <w:ilvl w:val="0"/>
          <w:numId w:val="11"/>
        </w:numPr>
        <w:spacing w:line="276" w:lineRule="auto"/>
        <w:jc w:val="both"/>
        <w:rPr>
          <w:rFonts w:asciiTheme="minorHAnsi" w:hAnsiTheme="minorHAnsi" w:cstheme="minorHAnsi"/>
          <w:sz w:val="24"/>
          <w:szCs w:val="24"/>
          <w:lang w:val="es-ES"/>
        </w:rPr>
      </w:pPr>
      <w:hyperlink r:id="rId41" w:history="1">
        <w:r w:rsidR="00B64A58" w:rsidRPr="00B64A58">
          <w:rPr>
            <w:rStyle w:val="Hipervnculo"/>
            <w:rFonts w:asciiTheme="minorHAnsi" w:hAnsiTheme="minorHAnsi" w:cstheme="minorHAnsi"/>
            <w:sz w:val="24"/>
            <w:szCs w:val="24"/>
          </w:rPr>
          <w:t>https://www.alimarket.es/alimentacion/informe/239872/informe-2017-del-mercado-de-ecommerce-de-alimentacion/informe-completo</w:t>
        </w:r>
      </w:hyperlink>
    </w:p>
    <w:p w14:paraId="585F72D1" w14:textId="77777777" w:rsidR="00B64A58" w:rsidRPr="00B64A58" w:rsidRDefault="00BC04DA" w:rsidP="000033C1">
      <w:pPr>
        <w:numPr>
          <w:ilvl w:val="0"/>
          <w:numId w:val="11"/>
        </w:numPr>
        <w:spacing w:line="276" w:lineRule="auto"/>
        <w:jc w:val="both"/>
        <w:rPr>
          <w:rFonts w:asciiTheme="minorHAnsi" w:hAnsiTheme="minorHAnsi" w:cstheme="minorHAnsi"/>
          <w:sz w:val="24"/>
          <w:szCs w:val="24"/>
          <w:lang w:val="es-ES"/>
        </w:rPr>
      </w:pPr>
      <w:hyperlink r:id="rId42" w:history="1">
        <w:r w:rsidR="00B64A58" w:rsidRPr="00B64A58">
          <w:rPr>
            <w:rStyle w:val="Hipervnculo"/>
            <w:rFonts w:asciiTheme="minorHAnsi" w:hAnsiTheme="minorHAnsi" w:cstheme="minorHAnsi"/>
            <w:sz w:val="24"/>
            <w:szCs w:val="24"/>
          </w:rPr>
          <w:t>https://www.mapa.gob.es/es/ministerio/servicios/analisis-y-prospectiva/notametodologica2018_tcm30-381433.pdf</w:t>
        </w:r>
      </w:hyperlink>
    </w:p>
    <w:p w14:paraId="60C49DB5" w14:textId="77777777" w:rsidR="00B64A58" w:rsidRPr="00B64A58" w:rsidRDefault="00B64A58" w:rsidP="000033C1">
      <w:pPr>
        <w:numPr>
          <w:ilvl w:val="0"/>
          <w:numId w:val="11"/>
        </w:numPr>
        <w:spacing w:line="276" w:lineRule="auto"/>
        <w:rPr>
          <w:rFonts w:asciiTheme="minorHAnsi" w:hAnsiTheme="minorHAnsi" w:cstheme="minorHAnsi"/>
          <w:sz w:val="24"/>
          <w:szCs w:val="24"/>
          <w:lang w:val="es-ES"/>
        </w:rPr>
      </w:pPr>
      <w:r w:rsidRPr="00B64A58">
        <w:rPr>
          <w:rFonts w:asciiTheme="minorHAnsi" w:hAnsiTheme="minorHAnsi" w:cstheme="minorHAnsi"/>
          <w:sz w:val="24"/>
          <w:szCs w:val="24"/>
          <w:lang w:val="es-ES"/>
        </w:rPr>
        <w:t>INE Cuentas Económicas Nacionales.</w:t>
      </w:r>
    </w:p>
    <w:p w14:paraId="71E3042A" w14:textId="77777777" w:rsidR="00B64A58" w:rsidRPr="00B64A58" w:rsidRDefault="00B64A58" w:rsidP="000033C1">
      <w:pPr>
        <w:numPr>
          <w:ilvl w:val="0"/>
          <w:numId w:val="11"/>
        </w:numPr>
        <w:spacing w:line="276" w:lineRule="auto"/>
        <w:rPr>
          <w:rFonts w:asciiTheme="minorHAnsi" w:hAnsiTheme="minorHAnsi" w:cstheme="minorHAnsi"/>
          <w:sz w:val="24"/>
          <w:szCs w:val="24"/>
          <w:lang w:val="es-ES"/>
        </w:rPr>
      </w:pPr>
      <w:r w:rsidRPr="00B64A58">
        <w:rPr>
          <w:rFonts w:asciiTheme="minorHAnsi" w:hAnsiTheme="minorHAnsi" w:cstheme="minorHAnsi"/>
          <w:sz w:val="24"/>
          <w:szCs w:val="24"/>
          <w:lang w:val="es-ES"/>
        </w:rPr>
        <w:t>INE Directorio Central de Empresas DIRCE 2018.</w:t>
      </w:r>
    </w:p>
    <w:p w14:paraId="2D23B02D" w14:textId="77777777" w:rsidR="00B64A58" w:rsidRPr="00B64A58" w:rsidRDefault="00B64A58" w:rsidP="000033C1">
      <w:pPr>
        <w:numPr>
          <w:ilvl w:val="0"/>
          <w:numId w:val="11"/>
        </w:numPr>
        <w:spacing w:line="276" w:lineRule="auto"/>
        <w:rPr>
          <w:rFonts w:asciiTheme="minorHAnsi" w:hAnsiTheme="minorHAnsi" w:cstheme="minorHAnsi"/>
          <w:sz w:val="24"/>
          <w:szCs w:val="24"/>
          <w:lang w:val="es-ES"/>
        </w:rPr>
      </w:pPr>
      <w:r w:rsidRPr="00B64A58">
        <w:rPr>
          <w:rFonts w:asciiTheme="minorHAnsi" w:hAnsiTheme="minorHAnsi" w:cstheme="minorHAnsi"/>
          <w:sz w:val="24"/>
          <w:szCs w:val="24"/>
          <w:lang w:val="es-ES"/>
        </w:rPr>
        <w:t>INE. EPA 1º trimestre 2019.</w:t>
      </w:r>
    </w:p>
    <w:p w14:paraId="4D2A7DFF" w14:textId="77777777" w:rsidR="00B64A58" w:rsidRPr="00B64A58" w:rsidRDefault="00B64A58" w:rsidP="000033C1">
      <w:pPr>
        <w:numPr>
          <w:ilvl w:val="0"/>
          <w:numId w:val="11"/>
        </w:numPr>
        <w:spacing w:line="276" w:lineRule="auto"/>
        <w:rPr>
          <w:rFonts w:asciiTheme="minorHAnsi" w:hAnsiTheme="minorHAnsi" w:cstheme="minorHAnsi"/>
          <w:sz w:val="24"/>
          <w:szCs w:val="24"/>
          <w:lang w:val="es-ES"/>
        </w:rPr>
      </w:pPr>
      <w:r w:rsidRPr="00B64A58">
        <w:rPr>
          <w:rFonts w:asciiTheme="minorHAnsi" w:hAnsiTheme="minorHAnsi" w:cstheme="minorHAnsi"/>
          <w:sz w:val="24"/>
          <w:szCs w:val="24"/>
          <w:lang w:val="es-ES"/>
        </w:rPr>
        <w:t>INE. Estadística Estructural de Empresas, Sector Industrial 2017.</w:t>
      </w:r>
    </w:p>
    <w:p w14:paraId="72307CB2" w14:textId="77777777" w:rsidR="00B64A58" w:rsidRPr="00B64A58" w:rsidRDefault="00B64A58" w:rsidP="000033C1">
      <w:pPr>
        <w:numPr>
          <w:ilvl w:val="0"/>
          <w:numId w:val="11"/>
        </w:numPr>
        <w:spacing w:line="276" w:lineRule="auto"/>
        <w:jc w:val="both"/>
        <w:rPr>
          <w:rStyle w:val="Hipervnculo"/>
          <w:rFonts w:asciiTheme="minorHAnsi" w:hAnsiTheme="minorHAnsi" w:cstheme="minorHAnsi"/>
          <w:color w:val="auto"/>
          <w:sz w:val="24"/>
          <w:szCs w:val="24"/>
          <w:u w:val="none"/>
          <w:lang w:val="es-ES"/>
        </w:rPr>
      </w:pPr>
      <w:r w:rsidRPr="00B64A58">
        <w:rPr>
          <w:rFonts w:asciiTheme="minorHAnsi" w:hAnsiTheme="minorHAnsi" w:cstheme="minorHAnsi"/>
          <w:sz w:val="24"/>
          <w:szCs w:val="24"/>
          <w:lang w:val="es-ES"/>
        </w:rPr>
        <w:t xml:space="preserve">Informe de Consumo agroalimentario 2018 </w:t>
      </w:r>
      <w:hyperlink r:id="rId43" w:history="1">
        <w:r w:rsidRPr="00B64A58">
          <w:rPr>
            <w:rStyle w:val="Hipervnculo"/>
            <w:rFonts w:asciiTheme="minorHAnsi" w:hAnsiTheme="minorHAnsi" w:cstheme="minorHAnsi"/>
            <w:sz w:val="24"/>
            <w:szCs w:val="24"/>
          </w:rPr>
          <w:t>https://www.mapa.gob.es/images/es/20190624_informedeconsumo2018pdf_tcm30-510816.pdf</w:t>
        </w:r>
      </w:hyperlink>
    </w:p>
    <w:p w14:paraId="492CA96E" w14:textId="77777777" w:rsidR="00B64A58" w:rsidRPr="00B64A58" w:rsidRDefault="00B64A58" w:rsidP="000033C1">
      <w:pPr>
        <w:numPr>
          <w:ilvl w:val="0"/>
          <w:numId w:val="11"/>
        </w:numPr>
        <w:spacing w:line="276" w:lineRule="auto"/>
        <w:jc w:val="both"/>
        <w:rPr>
          <w:rFonts w:asciiTheme="minorHAnsi" w:hAnsiTheme="minorHAnsi" w:cstheme="minorHAnsi"/>
          <w:sz w:val="24"/>
          <w:szCs w:val="24"/>
          <w:lang w:val="es-ES"/>
        </w:rPr>
      </w:pPr>
      <w:r w:rsidRPr="00B64A58">
        <w:rPr>
          <w:rFonts w:asciiTheme="minorHAnsi" w:hAnsiTheme="minorHAnsi" w:cstheme="minorHAnsi"/>
          <w:sz w:val="24"/>
          <w:szCs w:val="24"/>
          <w:lang w:val="es-ES"/>
        </w:rPr>
        <w:lastRenderedPageBreak/>
        <w:t>Informe FAO. Aumento de precio en los mercados de alimentos. Perspectivas Económicas y sociales</w:t>
      </w:r>
      <w:r w:rsidRPr="00B64A58">
        <w:rPr>
          <w:rFonts w:asciiTheme="minorHAnsi" w:hAnsiTheme="minorHAnsi" w:cstheme="minorHAnsi"/>
          <w:sz w:val="24"/>
          <w:szCs w:val="24"/>
        </w:rPr>
        <w:t xml:space="preserve"> </w:t>
      </w:r>
      <w:hyperlink r:id="rId44" w:history="1">
        <w:r w:rsidRPr="00B64A58">
          <w:rPr>
            <w:rStyle w:val="Hipervnculo"/>
            <w:rFonts w:asciiTheme="minorHAnsi" w:hAnsiTheme="minorHAnsi" w:cstheme="minorHAnsi"/>
            <w:sz w:val="24"/>
            <w:szCs w:val="24"/>
            <w:lang w:val="es-ES"/>
          </w:rPr>
          <w:t>http://www.fao.org/3/al296s/al296s00.pdf</w:t>
        </w:r>
      </w:hyperlink>
      <w:r w:rsidRPr="00B64A58">
        <w:rPr>
          <w:rFonts w:asciiTheme="minorHAnsi" w:hAnsiTheme="minorHAnsi" w:cstheme="minorHAnsi"/>
          <w:sz w:val="24"/>
          <w:szCs w:val="24"/>
          <w:lang w:val="es-ES"/>
        </w:rPr>
        <w:t xml:space="preserve"> </w:t>
      </w:r>
    </w:p>
    <w:p w14:paraId="516CC909" w14:textId="77777777" w:rsidR="00B64A58" w:rsidRPr="00F3311F" w:rsidRDefault="00B64A58" w:rsidP="000033C1">
      <w:pPr>
        <w:numPr>
          <w:ilvl w:val="0"/>
          <w:numId w:val="11"/>
        </w:numPr>
        <w:spacing w:line="276" w:lineRule="auto"/>
        <w:jc w:val="both"/>
        <w:rPr>
          <w:rFonts w:asciiTheme="majorHAnsi" w:hAnsiTheme="majorHAnsi" w:cstheme="majorHAnsi"/>
          <w:sz w:val="22"/>
          <w:lang w:val="en-GB"/>
        </w:rPr>
      </w:pPr>
      <w:r w:rsidRPr="000F281B">
        <w:rPr>
          <w:rFonts w:asciiTheme="minorHAnsi" w:hAnsiTheme="minorHAnsi" w:cstheme="minorHAnsi"/>
          <w:sz w:val="24"/>
          <w:szCs w:val="24"/>
          <w:lang w:val="en-GB"/>
        </w:rPr>
        <w:t xml:space="preserve">JRC </w:t>
      </w:r>
      <w:proofErr w:type="spellStart"/>
      <w:r w:rsidRPr="000F281B">
        <w:rPr>
          <w:rFonts w:asciiTheme="minorHAnsi" w:hAnsiTheme="minorHAnsi" w:cstheme="minorHAnsi"/>
          <w:sz w:val="24"/>
          <w:szCs w:val="24"/>
          <w:lang w:val="en-GB"/>
        </w:rPr>
        <w:t>Technicals</w:t>
      </w:r>
      <w:proofErr w:type="spellEnd"/>
      <w:r w:rsidRPr="000F281B">
        <w:rPr>
          <w:rFonts w:asciiTheme="minorHAnsi" w:hAnsiTheme="minorHAnsi" w:cstheme="minorHAnsi"/>
          <w:sz w:val="24"/>
          <w:szCs w:val="24"/>
          <w:lang w:val="en-GB"/>
        </w:rPr>
        <w:t xml:space="preserve"> Reports :Unfair trading practices in the food supply chain: A literature review on methodologies, impacts and regulatory aspects</w:t>
      </w:r>
      <w:r w:rsidRPr="00F3311F">
        <w:rPr>
          <w:rFonts w:asciiTheme="majorHAnsi" w:hAnsiTheme="majorHAnsi" w:cstheme="majorHAnsi"/>
          <w:sz w:val="22"/>
          <w:lang w:val="en-GB"/>
        </w:rPr>
        <w:t xml:space="preserve"> </w:t>
      </w:r>
      <w:hyperlink r:id="rId45" w:history="1">
        <w:r w:rsidRPr="00F3311F">
          <w:rPr>
            <w:rStyle w:val="Hipervnculo"/>
            <w:rFonts w:asciiTheme="majorHAnsi" w:hAnsiTheme="majorHAnsi" w:cstheme="majorHAnsi"/>
            <w:sz w:val="22"/>
            <w:lang w:val="en-GB"/>
          </w:rPr>
          <w:t>http://publications.jrc.ec.europa.eu/repository/bitstream/JRC108394/jrc_report_utps_final.pdf</w:t>
        </w:r>
      </w:hyperlink>
    </w:p>
    <w:p w14:paraId="55694392" w14:textId="77777777" w:rsidR="00B64A58" w:rsidRPr="00F3311F" w:rsidRDefault="00B64A58" w:rsidP="000033C1">
      <w:pPr>
        <w:numPr>
          <w:ilvl w:val="0"/>
          <w:numId w:val="11"/>
        </w:numPr>
        <w:spacing w:line="276" w:lineRule="auto"/>
        <w:jc w:val="both"/>
        <w:rPr>
          <w:rFonts w:asciiTheme="majorHAnsi" w:hAnsiTheme="majorHAnsi" w:cstheme="majorHAnsi"/>
          <w:sz w:val="22"/>
          <w:lang w:val="en-GB"/>
        </w:rPr>
      </w:pPr>
      <w:r w:rsidRPr="000F281B">
        <w:rPr>
          <w:rFonts w:asciiTheme="minorHAnsi" w:hAnsiTheme="minorHAnsi" w:cstheme="minorHAnsi"/>
          <w:sz w:val="24"/>
          <w:szCs w:val="24"/>
          <w:lang w:val="en-GB"/>
        </w:rPr>
        <w:t>Key objective: Improve farmers' position in the value chain</w:t>
      </w:r>
      <w:r w:rsidRPr="00F3311F">
        <w:rPr>
          <w:rFonts w:asciiTheme="majorHAnsi" w:hAnsiTheme="majorHAnsi" w:cstheme="majorHAnsi"/>
          <w:sz w:val="22"/>
          <w:lang w:val="en-GB"/>
        </w:rPr>
        <w:t xml:space="preserve">  </w:t>
      </w:r>
      <w:hyperlink r:id="rId46" w:history="1">
        <w:r w:rsidRPr="00F3311F">
          <w:rPr>
            <w:rStyle w:val="Hipervnculo"/>
            <w:rFonts w:asciiTheme="majorHAnsi" w:hAnsiTheme="majorHAnsi" w:cstheme="majorHAnsi"/>
            <w:sz w:val="22"/>
            <w:lang w:val="en-GB"/>
          </w:rPr>
          <w:t>https://ec.europa.eu/info/sites/info/files/food-farming-fisheries/key_policies/documents/cap-specific-objectives-brief-3-farmer-position-in-value-chains_en.pdf</w:t>
        </w:r>
      </w:hyperlink>
    </w:p>
    <w:p w14:paraId="64D79021" w14:textId="77777777" w:rsidR="00B64A58" w:rsidRPr="00062BC8" w:rsidRDefault="00B64A58" w:rsidP="000033C1">
      <w:pPr>
        <w:numPr>
          <w:ilvl w:val="0"/>
          <w:numId w:val="11"/>
        </w:numPr>
        <w:spacing w:line="276" w:lineRule="auto"/>
        <w:rPr>
          <w:rFonts w:asciiTheme="minorHAnsi" w:hAnsiTheme="minorHAnsi" w:cstheme="minorHAnsi"/>
          <w:sz w:val="24"/>
          <w:szCs w:val="24"/>
          <w:lang w:val="es-ES"/>
        </w:rPr>
      </w:pPr>
      <w:r w:rsidRPr="00062BC8">
        <w:rPr>
          <w:rFonts w:asciiTheme="minorHAnsi" w:hAnsiTheme="minorHAnsi" w:cstheme="minorHAnsi"/>
          <w:sz w:val="24"/>
          <w:szCs w:val="24"/>
          <w:lang w:val="es-ES"/>
        </w:rPr>
        <w:t xml:space="preserve">MAPA. Informe anual de Comercio exterior 2018. </w:t>
      </w:r>
    </w:p>
    <w:p w14:paraId="3CC1232C" w14:textId="77777777" w:rsidR="00B64A58" w:rsidRPr="00062BC8" w:rsidRDefault="00B64A58" w:rsidP="000033C1">
      <w:pPr>
        <w:pStyle w:val="Textonotapie"/>
        <w:numPr>
          <w:ilvl w:val="0"/>
          <w:numId w:val="11"/>
        </w:numPr>
        <w:spacing w:line="276" w:lineRule="auto"/>
        <w:rPr>
          <w:rFonts w:asciiTheme="minorHAnsi" w:hAnsiTheme="minorHAnsi" w:cstheme="minorHAnsi"/>
          <w:sz w:val="24"/>
          <w:szCs w:val="24"/>
          <w:lang w:val="es-ES"/>
        </w:rPr>
      </w:pPr>
      <w:r w:rsidRPr="00062BC8">
        <w:rPr>
          <w:rFonts w:asciiTheme="minorHAnsi" w:hAnsiTheme="minorHAnsi" w:cstheme="minorHAnsi"/>
          <w:sz w:val="24"/>
          <w:szCs w:val="24"/>
          <w:lang w:val="es-ES"/>
        </w:rPr>
        <w:t>Observatorio Socioeconómico de Cooperativas Agroalimentarias de España OSCAE 2018 (datos 2017)</w:t>
      </w:r>
    </w:p>
    <w:p w14:paraId="586F1903" w14:textId="77777777" w:rsidR="00B64A58" w:rsidRPr="00F3311F" w:rsidRDefault="00B64A58" w:rsidP="000033C1">
      <w:pPr>
        <w:numPr>
          <w:ilvl w:val="0"/>
          <w:numId w:val="11"/>
        </w:numPr>
        <w:spacing w:line="276" w:lineRule="auto"/>
        <w:jc w:val="both"/>
        <w:rPr>
          <w:rFonts w:asciiTheme="majorHAnsi" w:hAnsiTheme="majorHAnsi" w:cstheme="majorHAnsi"/>
          <w:sz w:val="22"/>
          <w:lang w:val="es-ES"/>
        </w:rPr>
      </w:pPr>
      <w:r w:rsidRPr="00062BC8">
        <w:rPr>
          <w:rFonts w:asciiTheme="minorHAnsi" w:hAnsiTheme="minorHAnsi" w:cstheme="minorHAnsi"/>
          <w:sz w:val="24"/>
          <w:szCs w:val="24"/>
          <w:lang w:val="es-ES"/>
        </w:rPr>
        <w:t>Propuesta de Reglamento sobre los Planes Estratégicos de la PAC. Consejo de la Unión</w:t>
      </w:r>
      <w:r w:rsidRPr="00F3311F">
        <w:rPr>
          <w:rFonts w:asciiTheme="majorHAnsi" w:hAnsiTheme="majorHAnsi" w:cstheme="majorHAnsi"/>
          <w:sz w:val="22"/>
          <w:lang w:val="es-ES"/>
        </w:rPr>
        <w:t xml:space="preserve"> </w:t>
      </w:r>
      <w:r w:rsidRPr="00062BC8">
        <w:rPr>
          <w:rFonts w:asciiTheme="minorHAnsi" w:hAnsiTheme="minorHAnsi" w:cstheme="minorHAnsi"/>
          <w:sz w:val="24"/>
          <w:szCs w:val="24"/>
          <w:lang w:val="es-ES"/>
        </w:rPr>
        <w:t>Europea, 2018</w:t>
      </w:r>
      <w:r w:rsidRPr="00F3311F">
        <w:rPr>
          <w:rFonts w:asciiTheme="majorHAnsi" w:hAnsiTheme="majorHAnsi" w:cstheme="majorHAnsi"/>
          <w:sz w:val="22"/>
          <w:lang w:val="es-ES"/>
        </w:rPr>
        <w:t xml:space="preserve">. </w:t>
      </w:r>
      <w:hyperlink r:id="rId47" w:history="1">
        <w:r w:rsidRPr="00F3311F">
          <w:rPr>
            <w:rStyle w:val="Hipervnculo"/>
            <w:rFonts w:asciiTheme="majorHAnsi" w:hAnsiTheme="majorHAnsi" w:cstheme="majorHAnsi"/>
            <w:sz w:val="22"/>
            <w:lang w:val="es-ES"/>
          </w:rPr>
          <w:t>https://eur-lex.europa.eu/legal-content/ES/TXT/HTML/?uri=CELEX:52018PC0392&amp;from=EN</w:t>
        </w:r>
      </w:hyperlink>
    </w:p>
    <w:p w14:paraId="391F739D" w14:textId="77777777" w:rsidR="00B64A58" w:rsidRPr="00062BC8" w:rsidRDefault="00B64A58" w:rsidP="000033C1">
      <w:pPr>
        <w:numPr>
          <w:ilvl w:val="0"/>
          <w:numId w:val="11"/>
        </w:numPr>
        <w:spacing w:line="276" w:lineRule="auto"/>
        <w:jc w:val="both"/>
        <w:rPr>
          <w:rFonts w:asciiTheme="minorHAnsi" w:hAnsiTheme="minorHAnsi" w:cstheme="minorHAnsi"/>
          <w:sz w:val="24"/>
          <w:szCs w:val="24"/>
          <w:lang w:val="es-ES"/>
        </w:rPr>
      </w:pPr>
      <w:r w:rsidRPr="00062BC8">
        <w:rPr>
          <w:rFonts w:asciiTheme="minorHAnsi" w:hAnsiTheme="minorHAnsi" w:cstheme="minorHAnsi"/>
          <w:sz w:val="24"/>
          <w:szCs w:val="24"/>
          <w:lang w:val="es-ES"/>
        </w:rPr>
        <w:t>Propuesta del borrador de lista de indicadores de contexto y de impacto. Consejo de la Unión Europea, 2018.</w:t>
      </w:r>
    </w:p>
    <w:p w14:paraId="06A31A9E" w14:textId="54437D6F" w:rsidR="00015542" w:rsidRDefault="00B64A58" w:rsidP="000033C1">
      <w:pPr>
        <w:numPr>
          <w:ilvl w:val="0"/>
          <w:numId w:val="11"/>
        </w:numPr>
        <w:spacing w:line="276" w:lineRule="auto"/>
        <w:jc w:val="both"/>
        <w:rPr>
          <w:rFonts w:asciiTheme="minorHAnsi" w:hAnsiTheme="minorHAnsi" w:cstheme="minorHAnsi"/>
          <w:sz w:val="24"/>
          <w:szCs w:val="24"/>
          <w:lang w:val="es-ES"/>
        </w:rPr>
      </w:pPr>
      <w:proofErr w:type="spellStart"/>
      <w:r w:rsidRPr="00062BC8">
        <w:rPr>
          <w:rFonts w:asciiTheme="minorHAnsi" w:hAnsiTheme="minorHAnsi" w:cstheme="minorHAnsi"/>
          <w:sz w:val="24"/>
          <w:szCs w:val="24"/>
          <w:lang w:val="es-ES"/>
        </w:rPr>
        <w:t>Statistics</w:t>
      </w:r>
      <w:proofErr w:type="spellEnd"/>
      <w:r w:rsidRPr="00062BC8">
        <w:rPr>
          <w:rFonts w:asciiTheme="minorHAnsi" w:hAnsiTheme="minorHAnsi" w:cstheme="minorHAnsi"/>
          <w:sz w:val="24"/>
          <w:szCs w:val="24"/>
          <w:lang w:val="es-ES"/>
        </w:rPr>
        <w:t xml:space="preserve"> </w:t>
      </w:r>
      <w:proofErr w:type="spellStart"/>
      <w:r w:rsidRPr="00062BC8">
        <w:rPr>
          <w:rFonts w:asciiTheme="minorHAnsi" w:hAnsiTheme="minorHAnsi" w:cstheme="minorHAnsi"/>
          <w:sz w:val="24"/>
          <w:szCs w:val="24"/>
          <w:lang w:val="es-ES"/>
        </w:rPr>
        <w:t>explained</w:t>
      </w:r>
      <w:proofErr w:type="spellEnd"/>
      <w:r w:rsidRPr="00062BC8">
        <w:rPr>
          <w:rFonts w:asciiTheme="minorHAnsi" w:hAnsiTheme="minorHAnsi" w:cstheme="minorHAnsi"/>
          <w:sz w:val="24"/>
          <w:szCs w:val="24"/>
          <w:lang w:val="es-ES"/>
        </w:rPr>
        <w:t xml:space="preserve">. </w:t>
      </w:r>
      <w:proofErr w:type="spellStart"/>
      <w:r w:rsidRPr="00062BC8">
        <w:rPr>
          <w:rFonts w:asciiTheme="minorHAnsi" w:hAnsiTheme="minorHAnsi" w:cstheme="minorHAnsi"/>
          <w:sz w:val="24"/>
          <w:szCs w:val="24"/>
          <w:lang w:val="es-ES"/>
        </w:rPr>
        <w:t>Eurostat</w:t>
      </w:r>
      <w:proofErr w:type="spellEnd"/>
      <w:r w:rsidRPr="00062BC8">
        <w:rPr>
          <w:rFonts w:asciiTheme="minorHAnsi" w:hAnsiTheme="minorHAnsi" w:cstheme="minorHAnsi"/>
          <w:sz w:val="24"/>
          <w:szCs w:val="24"/>
          <w:lang w:val="es-ES"/>
        </w:rPr>
        <w:t>, 2018.</w:t>
      </w:r>
    </w:p>
    <w:p w14:paraId="3C2FF86C" w14:textId="77777777" w:rsidR="00015542" w:rsidRDefault="00015542">
      <w:pPr>
        <w:rPr>
          <w:rFonts w:asciiTheme="minorHAnsi" w:hAnsiTheme="minorHAnsi" w:cstheme="minorHAnsi"/>
          <w:sz w:val="24"/>
          <w:szCs w:val="24"/>
          <w:lang w:val="es-ES"/>
        </w:rPr>
      </w:pPr>
      <w:r>
        <w:rPr>
          <w:rFonts w:asciiTheme="minorHAnsi" w:hAnsiTheme="minorHAnsi" w:cstheme="minorHAnsi"/>
          <w:sz w:val="24"/>
          <w:szCs w:val="24"/>
          <w:lang w:val="es-ES"/>
        </w:rPr>
        <w:br w:type="page"/>
      </w:r>
    </w:p>
    <w:p w14:paraId="05A24620" w14:textId="77777777" w:rsidR="003C0139" w:rsidRPr="00CC09DE" w:rsidRDefault="003C0139" w:rsidP="00D4710E">
      <w:pPr>
        <w:spacing w:line="276" w:lineRule="auto"/>
        <w:jc w:val="both"/>
        <w:rPr>
          <w:rFonts w:asciiTheme="majorHAnsi" w:hAnsiTheme="majorHAnsi" w:cstheme="majorHAnsi"/>
          <w:sz w:val="24"/>
          <w:szCs w:val="24"/>
          <w:lang w:val="es-ES"/>
        </w:rPr>
      </w:pPr>
    </w:p>
    <w:p w14:paraId="4845F152" w14:textId="357F83FF" w:rsidR="00BC1AD2" w:rsidRPr="00F3311F" w:rsidRDefault="00BC1AD2" w:rsidP="00D4710E">
      <w:pPr>
        <w:pStyle w:val="Ttulo1"/>
        <w:spacing w:line="276" w:lineRule="auto"/>
        <w:ind w:left="360"/>
        <w:rPr>
          <w:rFonts w:asciiTheme="majorHAnsi" w:hAnsiTheme="majorHAnsi" w:cstheme="majorHAnsi"/>
          <w:sz w:val="28"/>
        </w:rPr>
      </w:pPr>
      <w:bookmarkStart w:id="81" w:name="_Toc14695507"/>
      <w:r w:rsidRPr="00F3311F">
        <w:rPr>
          <w:rFonts w:asciiTheme="majorHAnsi" w:hAnsiTheme="majorHAnsi" w:cstheme="majorHAnsi"/>
          <w:sz w:val="28"/>
        </w:rPr>
        <w:t>ANEXO 2: Indicadores para la medición del objetivo 3</w:t>
      </w:r>
      <w:bookmarkEnd w:id="81"/>
    </w:p>
    <w:p w14:paraId="302CE7A5" w14:textId="77777777" w:rsidR="007A2D41" w:rsidRPr="00F3311F" w:rsidRDefault="007A2D41" w:rsidP="00D4710E">
      <w:pPr>
        <w:spacing w:line="276" w:lineRule="auto"/>
        <w:jc w:val="both"/>
        <w:rPr>
          <w:rFonts w:asciiTheme="majorHAnsi" w:hAnsiTheme="majorHAnsi" w:cstheme="majorHAnsi"/>
          <w:sz w:val="22"/>
        </w:rPr>
      </w:pPr>
    </w:p>
    <w:p w14:paraId="45BF6F45" w14:textId="77777777" w:rsidR="007A2D41" w:rsidRPr="00F3311F" w:rsidRDefault="007A2D41" w:rsidP="00D4710E">
      <w:pPr>
        <w:spacing w:line="276" w:lineRule="auto"/>
        <w:jc w:val="both"/>
        <w:rPr>
          <w:rFonts w:asciiTheme="majorHAnsi" w:hAnsiTheme="majorHAnsi" w:cstheme="majorHAnsi"/>
          <w:sz w:val="24"/>
        </w:rPr>
      </w:pPr>
      <w:r w:rsidRPr="00F3311F">
        <w:rPr>
          <w:rFonts w:asciiTheme="majorHAnsi" w:hAnsiTheme="majorHAnsi" w:cstheme="majorHAnsi"/>
          <w:sz w:val="24"/>
        </w:rPr>
        <w:t>Con los nuevos planes estratégicos de la PAC, se abandona el enfoque prescriptivo de la PAC y adopta un enfoque basado en la consecución de resultados, dentro de un presupuesto comunitario orientado a la consecución de resultados. Así, cobran especial importancia los indicadores que permitan verificar el cumplimiento de los hitos intermedios que se establezcan, en el camino fijado para cumplir los objetivos establecidos.</w:t>
      </w:r>
    </w:p>
    <w:p w14:paraId="5C1C8B19" w14:textId="77777777" w:rsidR="007A2D41" w:rsidRPr="00F3311F" w:rsidRDefault="007A2D41" w:rsidP="00D4710E">
      <w:pPr>
        <w:spacing w:line="276" w:lineRule="auto"/>
        <w:jc w:val="both"/>
        <w:rPr>
          <w:rFonts w:asciiTheme="majorHAnsi" w:hAnsiTheme="majorHAnsi" w:cstheme="majorHAnsi"/>
          <w:sz w:val="24"/>
        </w:rPr>
      </w:pPr>
      <w:r w:rsidRPr="00F3311F">
        <w:rPr>
          <w:rFonts w:asciiTheme="majorHAnsi" w:hAnsiTheme="majorHAnsi" w:cstheme="majorHAnsi"/>
          <w:sz w:val="24"/>
        </w:rPr>
        <w:t>Para ellos, las metas e hitos se definirán utilizando una serie de indicadores de impacto, de resultados y de realización recogidos en la propuesta de reglamento. Para alcanzar las metas, los estados miembro emplearan las intervenciones, adaptadas a los contextos nacionales específicos.</w:t>
      </w:r>
    </w:p>
    <w:p w14:paraId="4E11208A" w14:textId="3E34C803" w:rsidR="007A2D41" w:rsidRPr="00F3311F" w:rsidRDefault="007A2D41" w:rsidP="00D4710E">
      <w:pPr>
        <w:spacing w:line="276" w:lineRule="auto"/>
        <w:jc w:val="both"/>
        <w:rPr>
          <w:rFonts w:asciiTheme="majorHAnsi" w:hAnsiTheme="majorHAnsi" w:cstheme="majorHAnsi"/>
          <w:sz w:val="24"/>
        </w:rPr>
      </w:pPr>
      <w:r w:rsidRPr="00F3311F">
        <w:rPr>
          <w:rFonts w:asciiTheme="majorHAnsi" w:hAnsiTheme="majorHAnsi" w:cstheme="majorHAnsi"/>
          <w:sz w:val="24"/>
        </w:rPr>
        <w:t>Los indicadores de contexto que se establecen para el objetivo 3 quedan recogido en el cuadro siguiente:</w:t>
      </w:r>
    </w:p>
    <w:p w14:paraId="12438502" w14:textId="77777777" w:rsidR="00F61CE6" w:rsidRPr="00F3311F" w:rsidRDefault="00F61CE6" w:rsidP="00D4710E">
      <w:pPr>
        <w:spacing w:line="276" w:lineRule="auto"/>
        <w:jc w:val="both"/>
        <w:rPr>
          <w:rFonts w:asciiTheme="majorHAnsi" w:hAnsiTheme="majorHAnsi" w:cstheme="majorHAnsi"/>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2278"/>
        <w:gridCol w:w="2710"/>
      </w:tblGrid>
      <w:tr w:rsidR="007A2D41" w:rsidRPr="00F3311F" w14:paraId="648E3E0F" w14:textId="77777777" w:rsidTr="007A2D41">
        <w:trPr>
          <w:jc w:val="center"/>
        </w:trPr>
        <w:tc>
          <w:tcPr>
            <w:tcW w:w="2064" w:type="pct"/>
            <w:shd w:val="clear" w:color="auto" w:fill="D9D9D9"/>
            <w:vAlign w:val="center"/>
          </w:tcPr>
          <w:p w14:paraId="4AA9A0CF" w14:textId="77777777" w:rsidR="007A2D41" w:rsidRPr="00F3311F" w:rsidRDefault="007A2D41" w:rsidP="00D4710E">
            <w:pPr>
              <w:spacing w:line="276" w:lineRule="auto"/>
              <w:jc w:val="both"/>
              <w:rPr>
                <w:rFonts w:asciiTheme="majorHAnsi" w:hAnsiTheme="majorHAnsi" w:cstheme="majorHAnsi"/>
                <w:b/>
                <w:sz w:val="22"/>
              </w:rPr>
            </w:pPr>
          </w:p>
        </w:tc>
        <w:tc>
          <w:tcPr>
            <w:tcW w:w="1341" w:type="pct"/>
            <w:shd w:val="clear" w:color="auto" w:fill="D9D9D9"/>
            <w:vAlign w:val="center"/>
          </w:tcPr>
          <w:p w14:paraId="688AF119"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Nº</w:t>
            </w:r>
          </w:p>
        </w:tc>
        <w:tc>
          <w:tcPr>
            <w:tcW w:w="1595" w:type="pct"/>
            <w:shd w:val="clear" w:color="auto" w:fill="D9D9D9"/>
            <w:vAlign w:val="center"/>
          </w:tcPr>
          <w:p w14:paraId="35504C5C"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CONTENIDO</w:t>
            </w:r>
          </w:p>
        </w:tc>
      </w:tr>
      <w:tr w:rsidR="007A2D41" w:rsidRPr="00F3311F" w14:paraId="5BBC737E" w14:textId="77777777" w:rsidTr="007A2D41">
        <w:trPr>
          <w:trHeight w:val="610"/>
          <w:jc w:val="center"/>
        </w:trPr>
        <w:tc>
          <w:tcPr>
            <w:tcW w:w="2064" w:type="pct"/>
            <w:vMerge w:val="restart"/>
            <w:shd w:val="clear" w:color="auto" w:fill="D9D9D9"/>
            <w:vAlign w:val="center"/>
          </w:tcPr>
          <w:p w14:paraId="3FEFC115" w14:textId="77777777" w:rsidR="007A2D41" w:rsidRPr="00F3311F" w:rsidRDefault="007A2D41" w:rsidP="00D4710E">
            <w:pPr>
              <w:spacing w:line="276" w:lineRule="auto"/>
              <w:jc w:val="both"/>
              <w:rPr>
                <w:rFonts w:asciiTheme="majorHAnsi" w:hAnsiTheme="majorHAnsi" w:cstheme="majorHAnsi"/>
                <w:b/>
                <w:sz w:val="22"/>
              </w:rPr>
            </w:pPr>
            <w:bookmarkStart w:id="82" w:name="_Hlk536255521"/>
            <w:r w:rsidRPr="00F3311F">
              <w:rPr>
                <w:rFonts w:asciiTheme="majorHAnsi" w:hAnsiTheme="majorHAnsi" w:cstheme="majorHAnsi"/>
                <w:b/>
                <w:sz w:val="22"/>
              </w:rPr>
              <w:t xml:space="preserve">Indicadores de contexto </w:t>
            </w:r>
          </w:p>
        </w:tc>
        <w:tc>
          <w:tcPr>
            <w:tcW w:w="1341" w:type="pct"/>
            <w:shd w:val="clear" w:color="auto" w:fill="auto"/>
            <w:vAlign w:val="center"/>
          </w:tcPr>
          <w:p w14:paraId="6BCF113A"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IC: 1-5</w:t>
            </w:r>
          </w:p>
        </w:tc>
        <w:tc>
          <w:tcPr>
            <w:tcW w:w="1595" w:type="pct"/>
            <w:shd w:val="clear" w:color="auto" w:fill="auto"/>
            <w:vAlign w:val="center"/>
          </w:tcPr>
          <w:p w14:paraId="01D4CCAB"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Indicadores de contexto en general</w:t>
            </w:r>
          </w:p>
        </w:tc>
      </w:tr>
      <w:tr w:rsidR="007A2D41" w:rsidRPr="00F3311F" w14:paraId="04CEB53C" w14:textId="77777777" w:rsidTr="007A2D41">
        <w:trPr>
          <w:jc w:val="center"/>
        </w:trPr>
        <w:tc>
          <w:tcPr>
            <w:tcW w:w="2064" w:type="pct"/>
            <w:vMerge/>
            <w:shd w:val="clear" w:color="auto" w:fill="D9D9D9"/>
            <w:vAlign w:val="center"/>
          </w:tcPr>
          <w:p w14:paraId="67A78B87" w14:textId="77777777" w:rsidR="007A2D41" w:rsidRPr="00F3311F" w:rsidRDefault="007A2D41" w:rsidP="00D4710E">
            <w:pPr>
              <w:spacing w:line="276" w:lineRule="auto"/>
              <w:jc w:val="both"/>
              <w:rPr>
                <w:rFonts w:asciiTheme="majorHAnsi" w:hAnsiTheme="majorHAnsi" w:cstheme="majorHAnsi"/>
                <w:b/>
                <w:sz w:val="22"/>
              </w:rPr>
            </w:pPr>
          </w:p>
        </w:tc>
        <w:tc>
          <w:tcPr>
            <w:tcW w:w="1341" w:type="pct"/>
            <w:shd w:val="clear" w:color="auto" w:fill="auto"/>
            <w:vAlign w:val="center"/>
          </w:tcPr>
          <w:p w14:paraId="21A0BA53"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IC: 6-11</w:t>
            </w:r>
          </w:p>
        </w:tc>
        <w:tc>
          <w:tcPr>
            <w:tcW w:w="1595" w:type="pct"/>
            <w:shd w:val="clear" w:color="auto" w:fill="auto"/>
            <w:vAlign w:val="center"/>
          </w:tcPr>
          <w:p w14:paraId="2E18B46E"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Indicadores de Economía y Empleo</w:t>
            </w:r>
          </w:p>
        </w:tc>
      </w:tr>
      <w:tr w:rsidR="007A2D41" w:rsidRPr="00F3311F" w14:paraId="7DA8288D" w14:textId="77777777" w:rsidTr="007A2D41">
        <w:trPr>
          <w:jc w:val="center"/>
        </w:trPr>
        <w:tc>
          <w:tcPr>
            <w:tcW w:w="2064" w:type="pct"/>
            <w:vMerge/>
            <w:shd w:val="clear" w:color="auto" w:fill="D9D9D9"/>
            <w:vAlign w:val="center"/>
          </w:tcPr>
          <w:p w14:paraId="090B6709" w14:textId="77777777" w:rsidR="007A2D41" w:rsidRPr="00F3311F" w:rsidRDefault="007A2D41" w:rsidP="00D4710E">
            <w:pPr>
              <w:spacing w:line="276" w:lineRule="auto"/>
              <w:jc w:val="both"/>
              <w:rPr>
                <w:rFonts w:asciiTheme="majorHAnsi" w:hAnsiTheme="majorHAnsi" w:cstheme="majorHAnsi"/>
                <w:b/>
                <w:sz w:val="22"/>
              </w:rPr>
            </w:pPr>
          </w:p>
        </w:tc>
        <w:tc>
          <w:tcPr>
            <w:tcW w:w="1341" w:type="pct"/>
            <w:shd w:val="clear" w:color="auto" w:fill="auto"/>
            <w:vAlign w:val="center"/>
          </w:tcPr>
          <w:p w14:paraId="157C8C81"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IC12-34</w:t>
            </w:r>
          </w:p>
        </w:tc>
        <w:tc>
          <w:tcPr>
            <w:tcW w:w="1595" w:type="pct"/>
            <w:shd w:val="clear" w:color="auto" w:fill="auto"/>
            <w:vAlign w:val="center"/>
          </w:tcPr>
          <w:p w14:paraId="6626E83C"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Indicadores de Sector Agrario</w:t>
            </w:r>
          </w:p>
        </w:tc>
      </w:tr>
      <w:tr w:rsidR="007A2D41" w:rsidRPr="00F3311F" w14:paraId="6C3B3E92" w14:textId="77777777" w:rsidTr="007A2D41">
        <w:trPr>
          <w:jc w:val="center"/>
        </w:trPr>
        <w:tc>
          <w:tcPr>
            <w:tcW w:w="2064" w:type="pct"/>
            <w:shd w:val="clear" w:color="auto" w:fill="D9D9D9"/>
            <w:vAlign w:val="center"/>
          </w:tcPr>
          <w:p w14:paraId="3728927F" w14:textId="77777777" w:rsidR="007A2D41" w:rsidRPr="00F3311F" w:rsidRDefault="007A2D41" w:rsidP="00D4710E">
            <w:pPr>
              <w:spacing w:line="276" w:lineRule="auto"/>
              <w:jc w:val="both"/>
              <w:rPr>
                <w:rFonts w:asciiTheme="majorHAnsi" w:hAnsiTheme="majorHAnsi" w:cstheme="majorHAnsi"/>
                <w:b/>
                <w:sz w:val="22"/>
              </w:rPr>
            </w:pPr>
            <w:r w:rsidRPr="00F3311F">
              <w:rPr>
                <w:rFonts w:asciiTheme="majorHAnsi" w:hAnsiTheme="majorHAnsi" w:cstheme="majorHAnsi"/>
                <w:b/>
                <w:sz w:val="22"/>
              </w:rPr>
              <w:t>Indicadores de Impacto</w:t>
            </w:r>
          </w:p>
        </w:tc>
        <w:tc>
          <w:tcPr>
            <w:tcW w:w="1341" w:type="pct"/>
            <w:shd w:val="clear" w:color="auto" w:fill="auto"/>
          </w:tcPr>
          <w:p w14:paraId="2A88F3EB"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 xml:space="preserve">I.8 Mejorar la posición de los agricultores en la cadena alimentaria: </w:t>
            </w:r>
          </w:p>
        </w:tc>
        <w:tc>
          <w:tcPr>
            <w:tcW w:w="1595" w:type="pct"/>
            <w:shd w:val="clear" w:color="auto" w:fill="auto"/>
          </w:tcPr>
          <w:p w14:paraId="630259C8"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Valor añadido de los productores primarios en la cadena alimentaria.</w:t>
            </w:r>
          </w:p>
        </w:tc>
      </w:tr>
      <w:tr w:rsidR="007A2D41" w:rsidRPr="00F3311F" w14:paraId="36F397D0" w14:textId="77777777" w:rsidTr="007A2D41">
        <w:trPr>
          <w:jc w:val="center"/>
        </w:trPr>
        <w:tc>
          <w:tcPr>
            <w:tcW w:w="2064" w:type="pct"/>
            <w:vMerge w:val="restart"/>
            <w:shd w:val="clear" w:color="auto" w:fill="D9D9D9"/>
            <w:vAlign w:val="center"/>
          </w:tcPr>
          <w:p w14:paraId="37DC5CFA" w14:textId="77777777" w:rsidR="007A2D41" w:rsidRPr="00F3311F" w:rsidRDefault="007A2D41" w:rsidP="00D4710E">
            <w:pPr>
              <w:spacing w:line="276" w:lineRule="auto"/>
              <w:jc w:val="both"/>
              <w:rPr>
                <w:rFonts w:asciiTheme="majorHAnsi" w:hAnsiTheme="majorHAnsi" w:cstheme="majorHAnsi"/>
                <w:b/>
                <w:sz w:val="22"/>
              </w:rPr>
            </w:pPr>
            <w:r w:rsidRPr="00F3311F">
              <w:rPr>
                <w:rFonts w:asciiTheme="majorHAnsi" w:hAnsiTheme="majorHAnsi" w:cstheme="majorHAnsi"/>
                <w:b/>
                <w:sz w:val="22"/>
              </w:rPr>
              <w:t xml:space="preserve">Indicadores Resultados </w:t>
            </w:r>
          </w:p>
        </w:tc>
        <w:tc>
          <w:tcPr>
            <w:tcW w:w="1341" w:type="pct"/>
            <w:shd w:val="clear" w:color="auto" w:fill="auto"/>
          </w:tcPr>
          <w:p w14:paraId="1BE7B911"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R.10 Mejora organización de la cadena de suministro:</w:t>
            </w:r>
          </w:p>
        </w:tc>
        <w:tc>
          <w:tcPr>
            <w:tcW w:w="1595" w:type="pct"/>
            <w:shd w:val="clear" w:color="auto" w:fill="auto"/>
          </w:tcPr>
          <w:p w14:paraId="23B37747"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Porcentaje de agricultores que reciben ayuda para participar en agrupaciones de productores, organizaciones de productores, mercados locales, circuitos de distribución cortos y regímenes de calidad.</w:t>
            </w:r>
          </w:p>
        </w:tc>
      </w:tr>
      <w:tr w:rsidR="007A2D41" w:rsidRPr="00F3311F" w14:paraId="4AA6BD56" w14:textId="77777777" w:rsidTr="007A2D41">
        <w:trPr>
          <w:jc w:val="center"/>
        </w:trPr>
        <w:tc>
          <w:tcPr>
            <w:tcW w:w="2064" w:type="pct"/>
            <w:vMerge/>
            <w:shd w:val="clear" w:color="auto" w:fill="D9D9D9"/>
            <w:vAlign w:val="center"/>
          </w:tcPr>
          <w:p w14:paraId="3A13E92B" w14:textId="77777777" w:rsidR="007A2D41" w:rsidRPr="00F3311F" w:rsidRDefault="007A2D41" w:rsidP="00D4710E">
            <w:pPr>
              <w:spacing w:line="276" w:lineRule="auto"/>
              <w:jc w:val="both"/>
              <w:rPr>
                <w:rFonts w:asciiTheme="majorHAnsi" w:hAnsiTheme="majorHAnsi" w:cstheme="majorHAnsi"/>
                <w:b/>
                <w:sz w:val="22"/>
              </w:rPr>
            </w:pPr>
          </w:p>
        </w:tc>
        <w:tc>
          <w:tcPr>
            <w:tcW w:w="1341" w:type="pct"/>
            <w:shd w:val="clear" w:color="auto" w:fill="auto"/>
          </w:tcPr>
          <w:p w14:paraId="28E4F1F6"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R.11 Concentración del suministros</w:t>
            </w:r>
          </w:p>
        </w:tc>
        <w:tc>
          <w:tcPr>
            <w:tcW w:w="1595" w:type="pct"/>
            <w:shd w:val="clear" w:color="auto" w:fill="auto"/>
          </w:tcPr>
          <w:p w14:paraId="72232DF3" w14:textId="77777777" w:rsidR="007A2D41" w:rsidRPr="00F3311F" w:rsidRDefault="007A2D41" w:rsidP="00D4710E">
            <w:pPr>
              <w:spacing w:line="276" w:lineRule="auto"/>
              <w:jc w:val="both"/>
              <w:rPr>
                <w:rFonts w:asciiTheme="majorHAnsi" w:hAnsiTheme="majorHAnsi" w:cstheme="majorHAnsi"/>
                <w:sz w:val="22"/>
              </w:rPr>
            </w:pPr>
            <w:r w:rsidRPr="00F3311F">
              <w:rPr>
                <w:rFonts w:asciiTheme="majorHAnsi" w:hAnsiTheme="majorHAnsi" w:cstheme="majorHAnsi"/>
                <w:sz w:val="22"/>
              </w:rPr>
              <w:t>Porcentaje del valor de la producción comercializada por organizaciones de productores con programas operativos.</w:t>
            </w:r>
          </w:p>
        </w:tc>
      </w:tr>
      <w:bookmarkEnd w:id="82"/>
    </w:tbl>
    <w:p w14:paraId="235FFE73" w14:textId="01595054" w:rsidR="007A2D41" w:rsidRPr="00F3311F" w:rsidRDefault="007A2D41" w:rsidP="00D4710E">
      <w:pPr>
        <w:spacing w:after="360" w:line="276" w:lineRule="auto"/>
        <w:jc w:val="both"/>
        <w:rPr>
          <w:rFonts w:asciiTheme="majorHAnsi" w:hAnsiTheme="majorHAnsi" w:cstheme="majorHAnsi"/>
          <w:sz w:val="22"/>
        </w:rPr>
      </w:pPr>
    </w:p>
    <w:sectPr w:rsidR="007A2D41" w:rsidRPr="00F3311F" w:rsidSect="00F97180">
      <w:type w:val="continuous"/>
      <w:pgSz w:w="11906" w:h="16838"/>
      <w:pgMar w:top="1417" w:right="1701" w:bottom="1417"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FBD11" w16cid:durableId="203955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D8F08" w14:textId="77777777" w:rsidR="00BC04DA" w:rsidRDefault="00BC04DA">
      <w:r>
        <w:separator/>
      </w:r>
    </w:p>
  </w:endnote>
  <w:endnote w:type="continuationSeparator" w:id="0">
    <w:p w14:paraId="2C7E9062" w14:textId="77777777" w:rsidR="00BC04DA" w:rsidRDefault="00BC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Bold">
    <w:altName w:val="Times New Roman"/>
    <w:panose1 w:val="00000000000000000000"/>
    <w:charset w:val="00"/>
    <w:family w:val="roman"/>
    <w:notTrueType/>
    <w:pitch w:val="default"/>
  </w:font>
  <w:font w:name="Lato-Regular">
    <w:altName w:val="Times New Roman"/>
    <w:charset w:val="00"/>
    <w:family w:val="auto"/>
    <w:pitch w:val="default"/>
  </w:font>
  <w:font w:name="ArialNarrow">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63113" w14:textId="77777777" w:rsidR="00BC04DA" w:rsidRDefault="00BC04D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95A115" w14:textId="77777777" w:rsidR="00BC04DA" w:rsidRDefault="00BC04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221934"/>
      <w:docPartObj>
        <w:docPartGallery w:val="Page Numbers (Bottom of Page)"/>
        <w:docPartUnique/>
      </w:docPartObj>
    </w:sdtPr>
    <w:sdtContent>
      <w:p w14:paraId="18AD307A" w14:textId="77777777" w:rsidR="00BC04DA" w:rsidRDefault="00BC04DA">
        <w:pPr>
          <w:pStyle w:val="Piedepgina"/>
          <w:jc w:val="center"/>
        </w:pPr>
        <w:r>
          <w:fldChar w:fldCharType="begin"/>
        </w:r>
        <w:r>
          <w:instrText>PAGE   \* MERGEFORMAT</w:instrText>
        </w:r>
        <w:r>
          <w:fldChar w:fldCharType="separate"/>
        </w:r>
        <w:r w:rsidR="00A53C08" w:rsidRPr="00A53C08">
          <w:rPr>
            <w:noProof/>
            <w:lang w:val="es-ES"/>
          </w:rPr>
          <w:t>51</w:t>
        </w:r>
        <w:r>
          <w:fldChar w:fldCharType="end"/>
        </w:r>
      </w:p>
    </w:sdtContent>
  </w:sdt>
  <w:p w14:paraId="4729746A" w14:textId="77777777" w:rsidR="00BC04DA" w:rsidRDefault="00BC04DA">
    <w:pPr>
      <w:pStyle w:val="Piedepgina"/>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text" w:horzAnchor="margin" w:tblpXSpec="right" w:tblpY="1"/>
      <w:tblOverlap w:val="never"/>
      <w:tblW w:w="10723" w:type="dxa"/>
      <w:tblCellMar>
        <w:left w:w="70" w:type="dxa"/>
        <w:right w:w="70" w:type="dxa"/>
      </w:tblCellMar>
      <w:tblLook w:val="04A0" w:firstRow="1" w:lastRow="0" w:firstColumn="1" w:lastColumn="0" w:noHBand="0" w:noVBand="1"/>
    </w:tblPr>
    <w:tblGrid>
      <w:gridCol w:w="8434"/>
      <w:gridCol w:w="2289"/>
    </w:tblGrid>
    <w:tr w:rsidR="00BC04DA" w14:paraId="1F317B15" w14:textId="77777777" w:rsidTr="00A82139">
      <w:tc>
        <w:tcPr>
          <w:tcW w:w="8434" w:type="dxa"/>
          <w:vAlign w:val="bottom"/>
          <w:hideMark/>
        </w:tcPr>
        <w:p w14:paraId="5D4523AE" w14:textId="77777777" w:rsidR="00BC04DA" w:rsidRDefault="00BC04DA" w:rsidP="00F74634">
          <w:pPr>
            <w:pStyle w:val="Textonotapie"/>
            <w:tabs>
              <w:tab w:val="left" w:pos="1021"/>
              <w:tab w:val="left" w:pos="8080"/>
            </w:tabs>
            <w:rPr>
              <w:rFonts w:ascii="Gill Sans MT" w:hAnsi="Gill Sans MT" w:cs="Arial"/>
              <w:sz w:val="14"/>
            </w:rPr>
          </w:pPr>
          <w:r>
            <w:rPr>
              <w:rFonts w:ascii="Gill Sans MT" w:hAnsi="Gill Sans MT" w:cs="Arial"/>
              <w:sz w:val="14"/>
            </w:rPr>
            <w:t>www.mapa.gob.es</w:t>
          </w:r>
        </w:p>
        <w:p w14:paraId="40769F41" w14:textId="77777777" w:rsidR="00BC04DA" w:rsidRDefault="00BC04DA" w:rsidP="00F74634">
          <w:pPr>
            <w:pStyle w:val="Textonotapie"/>
            <w:tabs>
              <w:tab w:val="left" w:pos="1021"/>
              <w:tab w:val="left" w:pos="8080"/>
            </w:tabs>
            <w:rPr>
              <w:rFonts w:ascii="Gill Sans MT" w:hAnsi="Gill Sans MT" w:cs="Arial"/>
              <w:sz w:val="14"/>
            </w:rPr>
          </w:pPr>
          <w:r>
            <w:rPr>
              <w:rFonts w:ascii="Gill Sans MT" w:hAnsi="Gill Sans MT" w:cs="Arial"/>
              <w:sz w:val="14"/>
            </w:rPr>
            <w:t>Bzn-pac2020@mapa.es</w:t>
          </w:r>
        </w:p>
      </w:tc>
      <w:tc>
        <w:tcPr>
          <w:tcW w:w="2289" w:type="dxa"/>
          <w:hideMark/>
        </w:tcPr>
        <w:p w14:paraId="21C860AC" w14:textId="77777777" w:rsidR="00BC04DA" w:rsidRDefault="00BC04DA" w:rsidP="00F74634">
          <w:pPr>
            <w:pStyle w:val="Textonotapie"/>
            <w:tabs>
              <w:tab w:val="left" w:pos="1915"/>
              <w:tab w:val="left" w:pos="8080"/>
            </w:tabs>
            <w:ind w:right="-42"/>
            <w:rPr>
              <w:rFonts w:ascii="Gill Sans MT" w:hAnsi="Gill Sans MT" w:cs="Arial"/>
              <w:sz w:val="14"/>
            </w:rPr>
          </w:pPr>
        </w:p>
      </w:tc>
    </w:tr>
  </w:tbl>
  <w:p w14:paraId="484B8AE0" w14:textId="77777777" w:rsidR="00BC04DA" w:rsidRDefault="00BC04DA">
    <w:pPr>
      <w:pStyle w:val="Piedepgina"/>
    </w:pPr>
    <w: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40BF1" w14:textId="77777777" w:rsidR="00BC04DA" w:rsidRDefault="00BC04DA">
      <w:r>
        <w:separator/>
      </w:r>
    </w:p>
  </w:footnote>
  <w:footnote w:type="continuationSeparator" w:id="0">
    <w:p w14:paraId="06CB875A" w14:textId="77777777" w:rsidR="00BC04DA" w:rsidRDefault="00BC04DA">
      <w:r>
        <w:continuationSeparator/>
      </w:r>
    </w:p>
  </w:footnote>
  <w:footnote w:id="1">
    <w:p w14:paraId="6F5E465E" w14:textId="77777777" w:rsidR="00BC04DA" w:rsidRPr="00A47BB0" w:rsidRDefault="00BC04DA" w:rsidP="006132E6">
      <w:pPr>
        <w:pStyle w:val="Textonotapie"/>
      </w:pPr>
      <w:r>
        <w:rPr>
          <w:rStyle w:val="Refdenotaalpie"/>
        </w:rPr>
        <w:footnoteRef/>
      </w:r>
      <w:r>
        <w:t xml:space="preserve"> </w:t>
      </w:r>
      <w:r w:rsidRPr="00A47BB0">
        <w:t>Observatorio Socioeconómico de Cooperativas Agroalimentarias de España OSCAE 2018 (datos 2017)</w:t>
      </w:r>
    </w:p>
  </w:footnote>
  <w:footnote w:id="2">
    <w:p w14:paraId="0EBE72D2" w14:textId="77777777" w:rsidR="00BC04DA" w:rsidRPr="006F1316" w:rsidRDefault="00BC04DA" w:rsidP="006132E6">
      <w:pPr>
        <w:pStyle w:val="Textonotapie"/>
      </w:pPr>
      <w:r>
        <w:rPr>
          <w:rStyle w:val="Refdenotaalpie"/>
        </w:rPr>
        <w:footnoteRef/>
      </w:r>
      <w:r>
        <w:t xml:space="preserve"> Incluye datos de facturación de las sociedades participadas por las Cooperativas. 31.358 M€ sin incluir las sociedades participadas.</w:t>
      </w:r>
    </w:p>
  </w:footnote>
  <w:footnote w:id="3">
    <w:p w14:paraId="3B532BA8" w14:textId="77777777" w:rsidR="00BC04DA" w:rsidRPr="00130EA7" w:rsidRDefault="00BC04DA" w:rsidP="00D322B1">
      <w:pPr>
        <w:pStyle w:val="Textonotapie"/>
        <w:rPr>
          <w:sz w:val="18"/>
          <w:szCs w:val="18"/>
          <w:lang w:val="es-ES"/>
        </w:rPr>
      </w:pPr>
      <w:r w:rsidRPr="00130EA7">
        <w:rPr>
          <w:rStyle w:val="Refdenotaalpie"/>
          <w:sz w:val="18"/>
          <w:szCs w:val="18"/>
        </w:rPr>
        <w:footnoteRef/>
      </w:r>
      <w:r w:rsidRPr="00130EA7">
        <w:rPr>
          <w:sz w:val="18"/>
          <w:szCs w:val="18"/>
        </w:rPr>
        <w:t xml:space="preserve"> Estadística Estructural de Empresas: Sector Industrial 201</w:t>
      </w:r>
      <w:r>
        <w:rPr>
          <w:sz w:val="18"/>
          <w:szCs w:val="18"/>
        </w:rPr>
        <w:t>7</w:t>
      </w:r>
      <w:r w:rsidRPr="00130EA7">
        <w:rPr>
          <w:sz w:val="18"/>
          <w:szCs w:val="18"/>
        </w:rPr>
        <w:t>.INE</w:t>
      </w:r>
      <w:r w:rsidRPr="00130EA7">
        <w:rPr>
          <w:sz w:val="18"/>
          <w:szCs w:val="18"/>
          <w:lang w:val="es-ES"/>
        </w:rPr>
        <w:t>.Datos 2017</w:t>
      </w:r>
    </w:p>
  </w:footnote>
  <w:footnote w:id="4">
    <w:p w14:paraId="00BE9EFB" w14:textId="77777777" w:rsidR="00BC04DA" w:rsidRPr="00130EA7" w:rsidRDefault="00BC04DA" w:rsidP="00D322B1">
      <w:pPr>
        <w:pStyle w:val="Textonotapie"/>
        <w:rPr>
          <w:sz w:val="18"/>
          <w:szCs w:val="18"/>
          <w:lang w:val="es-ES"/>
        </w:rPr>
      </w:pPr>
      <w:r w:rsidRPr="00130EA7">
        <w:rPr>
          <w:rStyle w:val="Refdenotaalpie"/>
          <w:sz w:val="18"/>
          <w:szCs w:val="18"/>
        </w:rPr>
        <w:footnoteRef/>
      </w:r>
      <w:r w:rsidRPr="00130EA7">
        <w:rPr>
          <w:sz w:val="18"/>
          <w:szCs w:val="18"/>
        </w:rPr>
        <w:t xml:space="preserve"> </w:t>
      </w:r>
      <w:r w:rsidRPr="009736B1">
        <w:rPr>
          <w:sz w:val="18"/>
          <w:szCs w:val="18"/>
        </w:rPr>
        <w:t>Cuentas Económicas Nacionales (INE)</w:t>
      </w:r>
      <w:r>
        <w:rPr>
          <w:sz w:val="18"/>
          <w:szCs w:val="18"/>
        </w:rPr>
        <w:t>.</w:t>
      </w:r>
    </w:p>
  </w:footnote>
  <w:footnote w:id="5">
    <w:p w14:paraId="2BE5B995" w14:textId="77777777" w:rsidR="00BC04DA" w:rsidRPr="00C17E53" w:rsidRDefault="00BC04DA" w:rsidP="00D322B1">
      <w:pPr>
        <w:pStyle w:val="Textonotapie"/>
        <w:rPr>
          <w:lang w:val="es-ES"/>
        </w:rPr>
      </w:pPr>
      <w:r>
        <w:rPr>
          <w:rStyle w:val="Refdenotaalpie"/>
        </w:rPr>
        <w:footnoteRef/>
      </w:r>
      <w:r>
        <w:t xml:space="preserve"> </w:t>
      </w:r>
      <w:r w:rsidRPr="00130EA7">
        <w:rPr>
          <w:sz w:val="18"/>
          <w:szCs w:val="18"/>
          <w:lang w:val="es-ES"/>
        </w:rPr>
        <w:t>Directorio Central de Empresas DIRCE 2018.INE.</w:t>
      </w:r>
    </w:p>
  </w:footnote>
  <w:footnote w:id="6">
    <w:p w14:paraId="270D5E07" w14:textId="77777777" w:rsidR="00BC04DA" w:rsidRPr="00130EA7" w:rsidRDefault="00BC04DA" w:rsidP="00D322B1">
      <w:pPr>
        <w:pStyle w:val="Textonotapie"/>
        <w:ind w:right="-284"/>
        <w:rPr>
          <w:sz w:val="18"/>
          <w:szCs w:val="18"/>
          <w:lang w:val="es-ES"/>
        </w:rPr>
      </w:pPr>
      <w:r w:rsidRPr="00130EA7">
        <w:rPr>
          <w:rStyle w:val="Refdenotaalpie"/>
          <w:sz w:val="18"/>
          <w:szCs w:val="18"/>
        </w:rPr>
        <w:footnoteRef/>
      </w:r>
      <w:r w:rsidRPr="00130EA7">
        <w:rPr>
          <w:sz w:val="18"/>
          <w:szCs w:val="18"/>
        </w:rPr>
        <w:t xml:space="preserve"> </w:t>
      </w:r>
      <w:r w:rsidRPr="00130EA7">
        <w:rPr>
          <w:sz w:val="18"/>
          <w:szCs w:val="18"/>
          <w:lang w:val="es-ES"/>
        </w:rPr>
        <w:t>Directorio Central de Empresas DIRCE 2018.INE.</w:t>
      </w:r>
    </w:p>
  </w:footnote>
  <w:footnote w:id="7">
    <w:p w14:paraId="46DCE9CD" w14:textId="77777777" w:rsidR="00BC04DA" w:rsidRPr="00130EA7" w:rsidRDefault="00BC04DA" w:rsidP="00D322B1">
      <w:pPr>
        <w:pStyle w:val="Textonotapie"/>
        <w:rPr>
          <w:sz w:val="18"/>
          <w:szCs w:val="18"/>
          <w:lang w:val="es-ES"/>
        </w:rPr>
      </w:pPr>
      <w:r>
        <w:rPr>
          <w:rStyle w:val="Refdenotaalpie"/>
        </w:rPr>
        <w:footnoteRef/>
      </w:r>
      <w:r w:rsidRPr="00130EA7">
        <w:rPr>
          <w:sz w:val="18"/>
          <w:szCs w:val="18"/>
          <w:lang w:val="es-ES"/>
        </w:rPr>
        <w:t xml:space="preserve">EPA </w:t>
      </w:r>
      <w:r>
        <w:rPr>
          <w:sz w:val="18"/>
          <w:szCs w:val="18"/>
          <w:lang w:val="es-ES"/>
        </w:rPr>
        <w:t>1</w:t>
      </w:r>
      <w:r w:rsidRPr="00130EA7">
        <w:rPr>
          <w:sz w:val="18"/>
          <w:szCs w:val="18"/>
          <w:lang w:val="es-ES"/>
        </w:rPr>
        <w:t>º trimestre 201</w:t>
      </w:r>
      <w:r>
        <w:rPr>
          <w:sz w:val="18"/>
          <w:szCs w:val="18"/>
          <w:lang w:val="es-ES"/>
        </w:rPr>
        <w:t>9</w:t>
      </w:r>
      <w:r w:rsidRPr="00130EA7">
        <w:rPr>
          <w:sz w:val="18"/>
          <w:szCs w:val="18"/>
          <w:lang w:val="es-ES"/>
        </w:rPr>
        <w:t>.INE.</w:t>
      </w:r>
    </w:p>
  </w:footnote>
  <w:footnote w:id="8">
    <w:p w14:paraId="240248F6" w14:textId="77777777" w:rsidR="00BC04DA" w:rsidRPr="0089571F" w:rsidRDefault="00BC04DA" w:rsidP="00D322B1">
      <w:pPr>
        <w:pStyle w:val="Textonotapie"/>
      </w:pPr>
      <w:r w:rsidRPr="00130EA7">
        <w:rPr>
          <w:rStyle w:val="Refdenotaalpie"/>
          <w:sz w:val="18"/>
          <w:szCs w:val="18"/>
        </w:rPr>
        <w:footnoteRef/>
      </w:r>
      <w:r w:rsidRPr="00130EA7">
        <w:rPr>
          <w:sz w:val="18"/>
          <w:szCs w:val="18"/>
        </w:rPr>
        <w:t xml:space="preserve"> Estadística Estructural de Empresas: Sector Industrial 201</w:t>
      </w:r>
      <w:r>
        <w:rPr>
          <w:sz w:val="18"/>
          <w:szCs w:val="18"/>
        </w:rPr>
        <w:t>7</w:t>
      </w:r>
      <w:r w:rsidRPr="00130EA7">
        <w:rPr>
          <w:sz w:val="18"/>
          <w:szCs w:val="18"/>
        </w:rPr>
        <w:t>.INE.</w:t>
      </w:r>
    </w:p>
  </w:footnote>
  <w:footnote w:id="9">
    <w:p w14:paraId="06B5BB52" w14:textId="77777777" w:rsidR="00BC04DA" w:rsidRDefault="00BC04DA" w:rsidP="00D322B1"/>
  </w:footnote>
  <w:footnote w:id="10">
    <w:p w14:paraId="04DFE3E0" w14:textId="77777777" w:rsidR="00BC04DA" w:rsidRPr="00576ECD" w:rsidRDefault="00BC04DA" w:rsidP="00D322B1">
      <w:pPr>
        <w:pStyle w:val="Textonotapie"/>
        <w:rPr>
          <w:sz w:val="18"/>
          <w:szCs w:val="18"/>
        </w:rPr>
      </w:pPr>
      <w:r w:rsidRPr="00576ECD">
        <w:rPr>
          <w:rStyle w:val="Refdenotaalpie"/>
          <w:sz w:val="18"/>
          <w:szCs w:val="18"/>
        </w:rPr>
        <w:footnoteRef/>
      </w:r>
      <w:r w:rsidRPr="00576ECD">
        <w:rPr>
          <w:sz w:val="18"/>
          <w:szCs w:val="18"/>
        </w:rPr>
        <w:t xml:space="preserve"> Informe anual de Comercio exterior 2018.MAPA</w:t>
      </w:r>
    </w:p>
    <w:p w14:paraId="1C35CCDD" w14:textId="77777777" w:rsidR="00BC04DA" w:rsidRPr="000B19B5" w:rsidRDefault="00BC04DA" w:rsidP="00D322B1">
      <w:pPr>
        <w:pStyle w:val="Textonotapie"/>
        <w:rPr>
          <w:lang w:val="es-ES"/>
        </w:rPr>
      </w:pPr>
    </w:p>
  </w:footnote>
  <w:footnote w:id="11">
    <w:p w14:paraId="05562ADE" w14:textId="77777777" w:rsidR="00BC04DA" w:rsidRDefault="00BC04DA" w:rsidP="00D65D3E">
      <w:pPr>
        <w:pStyle w:val="Textonotapie"/>
        <w:jc w:val="both"/>
        <w:rPr>
          <w:rFonts w:ascii="Verdana" w:hAnsi="Verdana"/>
          <w:i/>
          <w:sz w:val="16"/>
          <w:szCs w:val="16"/>
        </w:rPr>
      </w:pPr>
      <w:r>
        <w:rPr>
          <w:rStyle w:val="Refdenotaalpie"/>
          <w:rFonts w:ascii="Verdana" w:hAnsi="Verdana"/>
          <w:sz w:val="16"/>
          <w:szCs w:val="16"/>
        </w:rPr>
        <w:footnoteRef/>
      </w:r>
      <w:r>
        <w:rPr>
          <w:rFonts w:ascii="Verdana" w:hAnsi="Verdana"/>
          <w:sz w:val="16"/>
          <w:szCs w:val="16"/>
        </w:rPr>
        <w:t xml:space="preserve"> Junta de Castilla y León, Federación Agroalimentaria CCOO. </w:t>
      </w:r>
      <w:r>
        <w:rPr>
          <w:rFonts w:ascii="Verdana" w:hAnsi="Verdana"/>
          <w:i/>
          <w:sz w:val="16"/>
          <w:szCs w:val="16"/>
        </w:rPr>
        <w:t xml:space="preserve">Estudio sobre las posibilidades de aplicación de los Circuitos Cortos de Comercialización como medida de apoyo al autoempleo desde el ADE Rural en Castilla y León. </w:t>
      </w:r>
      <w:r>
        <w:rPr>
          <w:rFonts w:ascii="Verdana" w:hAnsi="Verdana"/>
          <w:sz w:val="16"/>
          <w:szCs w:val="16"/>
        </w:rPr>
        <w:t>P. 13-14. [</w:t>
      </w:r>
      <w:proofErr w:type="spellStart"/>
      <w:r>
        <w:rPr>
          <w:rFonts w:ascii="Verdana" w:hAnsi="Verdana"/>
          <w:sz w:val="16"/>
          <w:szCs w:val="16"/>
        </w:rPr>
        <w:t>on</w:t>
      </w:r>
      <w:proofErr w:type="spellEnd"/>
      <w:r>
        <w:rPr>
          <w:rFonts w:ascii="Verdana" w:hAnsi="Verdana"/>
          <w:sz w:val="16"/>
          <w:szCs w:val="16"/>
        </w:rPr>
        <w:t xml:space="preserve"> line] http://www.castillayleon.ccoo.es/730f4983bd7f21134e38f1f158ed5eb0000054.pdf</w:t>
      </w:r>
    </w:p>
  </w:footnote>
  <w:footnote w:id="12">
    <w:p w14:paraId="55B72E6F" w14:textId="77777777" w:rsidR="00BC04DA" w:rsidRDefault="00BC04DA" w:rsidP="00D65D3E">
      <w:pPr>
        <w:pStyle w:val="Textonotapie"/>
        <w:jc w:val="both"/>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Asociación de Empresas de Venta Directa. </w:t>
      </w:r>
      <w:r>
        <w:rPr>
          <w:rFonts w:ascii="Verdana" w:hAnsi="Verdana"/>
          <w:i/>
          <w:sz w:val="16"/>
          <w:szCs w:val="16"/>
        </w:rPr>
        <w:t>Dossier de prensa</w:t>
      </w:r>
      <w:r>
        <w:rPr>
          <w:rFonts w:ascii="Verdana" w:hAnsi="Verdana"/>
          <w:sz w:val="16"/>
          <w:szCs w:val="16"/>
        </w:rPr>
        <w:t>. Octubre 2018. P. 4 [</w:t>
      </w:r>
      <w:proofErr w:type="spellStart"/>
      <w:r>
        <w:rPr>
          <w:rFonts w:ascii="Verdana" w:hAnsi="Verdana"/>
          <w:sz w:val="16"/>
          <w:szCs w:val="16"/>
        </w:rPr>
        <w:t>on</w:t>
      </w:r>
      <w:proofErr w:type="spellEnd"/>
      <w:r>
        <w:rPr>
          <w:rFonts w:ascii="Verdana" w:hAnsi="Verdana"/>
          <w:sz w:val="16"/>
          <w:szCs w:val="16"/>
        </w:rPr>
        <w:t xml:space="preserve"> line]. http://www.avd.es/pdf/Dossier_de_prensa_AVD_20181004.pdf</w:t>
      </w:r>
    </w:p>
  </w:footnote>
  <w:footnote w:id="13">
    <w:p w14:paraId="6F7D4378" w14:textId="77777777" w:rsidR="00BC04DA" w:rsidRDefault="00BC04DA" w:rsidP="00D65D3E">
      <w:pPr>
        <w:pStyle w:val="Textonotapie"/>
        <w:jc w:val="both"/>
        <w:rPr>
          <w:rFonts w:ascii="Verdana" w:hAnsi="Verdana"/>
          <w:sz w:val="16"/>
          <w:szCs w:val="16"/>
          <w:lang w:val="en-US"/>
        </w:rPr>
      </w:pPr>
      <w:r>
        <w:rPr>
          <w:rStyle w:val="Refdenotaalpie"/>
          <w:rFonts w:ascii="Verdana" w:hAnsi="Verdana"/>
          <w:sz w:val="16"/>
          <w:szCs w:val="16"/>
        </w:rPr>
        <w:footnoteRef/>
      </w:r>
      <w:r>
        <w:rPr>
          <w:rFonts w:ascii="Verdana" w:hAnsi="Verdana"/>
          <w:sz w:val="16"/>
          <w:szCs w:val="16"/>
        </w:rPr>
        <w:t xml:space="preserve"> Agrupación Europea de cooperación Territorial Huesca Pirineos, </w:t>
      </w:r>
      <w:proofErr w:type="spellStart"/>
      <w:r>
        <w:rPr>
          <w:rFonts w:ascii="Verdana" w:hAnsi="Verdana"/>
          <w:sz w:val="16"/>
          <w:szCs w:val="16"/>
        </w:rPr>
        <w:t>Interreg</w:t>
      </w:r>
      <w:proofErr w:type="spellEnd"/>
      <w:r>
        <w:rPr>
          <w:rFonts w:ascii="Verdana" w:hAnsi="Verdana"/>
          <w:sz w:val="16"/>
          <w:szCs w:val="16"/>
        </w:rPr>
        <w:t xml:space="preserve"> </w:t>
      </w:r>
      <w:proofErr w:type="spellStart"/>
      <w:r>
        <w:rPr>
          <w:rFonts w:ascii="Verdana" w:hAnsi="Verdana"/>
          <w:sz w:val="16"/>
          <w:szCs w:val="16"/>
        </w:rPr>
        <w:t>Poctefa</w:t>
      </w:r>
      <w:proofErr w:type="spellEnd"/>
      <w:r>
        <w:rPr>
          <w:rFonts w:ascii="Verdana" w:hAnsi="Verdana"/>
          <w:sz w:val="16"/>
          <w:szCs w:val="16"/>
        </w:rPr>
        <w:t xml:space="preserve">. </w:t>
      </w:r>
      <w:r>
        <w:rPr>
          <w:rFonts w:ascii="Verdana" w:hAnsi="Verdana"/>
          <w:i/>
          <w:sz w:val="16"/>
          <w:szCs w:val="16"/>
        </w:rPr>
        <w:t xml:space="preserve">La venta directa de productos agroalimentarios en España y Francia. </w:t>
      </w:r>
      <w:r>
        <w:rPr>
          <w:rFonts w:ascii="Verdana" w:hAnsi="Verdana"/>
          <w:sz w:val="16"/>
          <w:szCs w:val="16"/>
          <w:lang w:val="en-US"/>
        </w:rPr>
        <w:t>P.9 [On line]. http://www.hp-hp.eu/_archivos/ficheros/entregables_224.pdf</w:t>
      </w:r>
    </w:p>
  </w:footnote>
  <w:footnote w:id="14">
    <w:p w14:paraId="3392490E" w14:textId="77777777" w:rsidR="00BC04DA" w:rsidRDefault="00BC04DA" w:rsidP="00D65D3E">
      <w:pPr>
        <w:pStyle w:val="Textonotapie"/>
        <w:jc w:val="both"/>
        <w:rPr>
          <w:rFonts w:ascii="Verdana" w:hAnsi="Verdana"/>
          <w:sz w:val="16"/>
          <w:szCs w:val="16"/>
          <w:lang w:val="es-ES"/>
        </w:rPr>
      </w:pPr>
      <w:r>
        <w:rPr>
          <w:rStyle w:val="Refdenotaalpie"/>
          <w:rFonts w:ascii="Verdana" w:hAnsi="Verdana"/>
          <w:sz w:val="16"/>
          <w:szCs w:val="16"/>
        </w:rPr>
        <w:footnoteRef/>
      </w:r>
      <w:r>
        <w:rPr>
          <w:rFonts w:ascii="Verdana" w:hAnsi="Verdana"/>
          <w:sz w:val="16"/>
          <w:szCs w:val="16"/>
        </w:rPr>
        <w:t xml:space="preserve"> </w:t>
      </w:r>
      <w:proofErr w:type="spellStart"/>
      <w:r>
        <w:rPr>
          <w:rFonts w:ascii="Verdana" w:hAnsi="Verdana"/>
          <w:sz w:val="16"/>
          <w:szCs w:val="16"/>
        </w:rPr>
        <w:t>Institut</w:t>
      </w:r>
      <w:proofErr w:type="spellEnd"/>
      <w:r>
        <w:rPr>
          <w:rFonts w:ascii="Verdana" w:hAnsi="Verdana"/>
          <w:sz w:val="16"/>
          <w:szCs w:val="16"/>
        </w:rPr>
        <w:t xml:space="preserve"> </w:t>
      </w:r>
      <w:proofErr w:type="spellStart"/>
      <w:r>
        <w:rPr>
          <w:rFonts w:ascii="Verdana" w:hAnsi="Verdana"/>
          <w:sz w:val="16"/>
          <w:szCs w:val="16"/>
        </w:rPr>
        <w:t>Cerdà</w:t>
      </w:r>
      <w:proofErr w:type="spellEnd"/>
      <w:r>
        <w:rPr>
          <w:rFonts w:ascii="Verdana" w:hAnsi="Verdana"/>
          <w:sz w:val="16"/>
          <w:szCs w:val="16"/>
        </w:rPr>
        <w:t xml:space="preserve">. </w:t>
      </w:r>
      <w:r>
        <w:rPr>
          <w:rFonts w:ascii="Verdana" w:hAnsi="Verdana"/>
          <w:i/>
          <w:sz w:val="16"/>
          <w:szCs w:val="16"/>
        </w:rPr>
        <w:t xml:space="preserve">Informe Barómetro MAGRAMA 3T-2012 Canales cortos. </w:t>
      </w:r>
      <w:r>
        <w:rPr>
          <w:rFonts w:ascii="Verdana" w:hAnsi="Verdana"/>
          <w:sz w:val="16"/>
          <w:szCs w:val="16"/>
        </w:rPr>
        <w:t xml:space="preserve">P. 12 </w:t>
      </w:r>
    </w:p>
  </w:footnote>
  <w:footnote w:id="15">
    <w:p w14:paraId="0E097EAC" w14:textId="77777777" w:rsidR="00BC04DA" w:rsidRDefault="00BC04DA" w:rsidP="00D65D3E">
      <w:pPr>
        <w:pStyle w:val="Textonotapie"/>
        <w:jc w:val="both"/>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MAPA. </w:t>
      </w:r>
      <w:r>
        <w:rPr>
          <w:rFonts w:ascii="Verdana" w:hAnsi="Verdana"/>
          <w:i/>
          <w:sz w:val="16"/>
          <w:szCs w:val="16"/>
        </w:rPr>
        <w:t>Hacia dónde camina la alimentación: Tendencias de consumo</w:t>
      </w:r>
      <w:r>
        <w:rPr>
          <w:rFonts w:ascii="Verdana" w:hAnsi="Verdana"/>
          <w:sz w:val="16"/>
          <w:szCs w:val="16"/>
        </w:rPr>
        <w:t xml:space="preserve"> y comercialización 3. Canales alternativos de distribución alimentaria. P. 5 [</w:t>
      </w:r>
      <w:proofErr w:type="spellStart"/>
      <w:r>
        <w:rPr>
          <w:rFonts w:ascii="Verdana" w:hAnsi="Verdana"/>
          <w:sz w:val="16"/>
          <w:szCs w:val="16"/>
        </w:rPr>
        <w:t>On</w:t>
      </w:r>
      <w:proofErr w:type="spellEnd"/>
      <w:r>
        <w:rPr>
          <w:rFonts w:ascii="Verdana" w:hAnsi="Verdana"/>
          <w:sz w:val="16"/>
          <w:szCs w:val="16"/>
        </w:rPr>
        <w:t xml:space="preserve"> line] https://www.mapa.gob.es/es/alimentacion/temas/consumo-y-comercializacion-y-distribucion-alimentaria/folleto3_tcm30-89262.pdf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A92E2" w14:textId="77777777" w:rsidR="00BC04DA" w:rsidRDefault="00BC04D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EE1D857" w14:textId="77777777" w:rsidR="00BC04DA" w:rsidRDefault="00BC04D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72D39" w14:textId="77777777" w:rsidR="00BC04DA" w:rsidRDefault="00BC04DA">
    <w:pPr>
      <w:pStyle w:val="Encabezado"/>
      <w:tabs>
        <w:tab w:val="clear" w:pos="8504"/>
      </w:tabs>
      <w:ind w:right="-87"/>
      <w:jc w:val="right"/>
    </w:pPr>
    <w:r>
      <w:rPr>
        <w:noProof/>
        <w:lang w:val="es-ES"/>
      </w:rPr>
      <mc:AlternateContent>
        <mc:Choice Requires="wps">
          <w:drawing>
            <wp:anchor distT="0" distB="0" distL="114300" distR="114300" simplePos="0" relativeHeight="251657216" behindDoc="0" locked="0" layoutInCell="1" allowOverlap="1" wp14:anchorId="2E4493A2" wp14:editId="17E06A65">
              <wp:simplePos x="0" y="0"/>
              <wp:positionH relativeFrom="column">
                <wp:posOffset>6041390</wp:posOffset>
              </wp:positionH>
              <wp:positionV relativeFrom="paragraph">
                <wp:posOffset>823595</wp:posOffset>
              </wp:positionV>
              <wp:extent cx="868680" cy="0"/>
              <wp:effectExtent l="0" t="0" r="0" b="0"/>
              <wp:wrapNone/>
              <wp:docPr id="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DC15F" id="Line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7pt,64.85pt" to="544.1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vtEQIAACg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"/>
          </w:pict>
        </mc:Fallback>
      </mc:AlternateContent>
    </w:r>
    <w:r>
      <w:rPr>
        <w:noProof/>
        <w:lang w:val="es-ES"/>
      </w:rPr>
      <w:drawing>
        <wp:inline distT="0" distB="0" distL="0" distR="0" wp14:anchorId="175E758B" wp14:editId="1DD00899">
          <wp:extent cx="838200" cy="876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705611"/>
      <w:docPartObj>
        <w:docPartGallery w:val="Watermarks"/>
        <w:docPartUnique/>
      </w:docPartObj>
    </w:sdtPr>
    <w:sdtContent>
      <w:p w14:paraId="3CC55D79" w14:textId="77777777" w:rsidR="00BC04DA" w:rsidRDefault="00BC04DA">
        <w:pPr>
          <w:ind w:right="-185"/>
        </w:pPr>
        <w:r>
          <w:pict w14:anchorId="50E6A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5C8B"/>
    <w:multiLevelType w:val="multilevel"/>
    <w:tmpl w:val="9F6ED29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A11BD3"/>
    <w:multiLevelType w:val="multilevel"/>
    <w:tmpl w:val="6B344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079C6"/>
    <w:multiLevelType w:val="hybridMultilevel"/>
    <w:tmpl w:val="DEE6B9B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E5464A"/>
    <w:multiLevelType w:val="hybridMultilevel"/>
    <w:tmpl w:val="5FC2FC08"/>
    <w:lvl w:ilvl="0" w:tplc="859C334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C5A3E"/>
    <w:multiLevelType w:val="hybridMultilevel"/>
    <w:tmpl w:val="6C6E4D44"/>
    <w:lvl w:ilvl="0" w:tplc="7A04589E">
      <w:start w:val="1"/>
      <w:numFmt w:val="bullet"/>
      <w:lvlText w:val="-"/>
      <w:lvlJc w:val="left"/>
      <w:pPr>
        <w:tabs>
          <w:tab w:val="num" w:pos="720"/>
        </w:tabs>
        <w:ind w:left="720" w:hanging="360"/>
      </w:pPr>
      <w:rPr>
        <w:rFonts w:ascii="Verdana" w:hAnsi="Verdana" w:hint="default"/>
      </w:rPr>
    </w:lvl>
    <w:lvl w:ilvl="1" w:tplc="4112C520" w:tentative="1">
      <w:start w:val="1"/>
      <w:numFmt w:val="bullet"/>
      <w:lvlText w:val=""/>
      <w:lvlJc w:val="left"/>
      <w:pPr>
        <w:tabs>
          <w:tab w:val="num" w:pos="1440"/>
        </w:tabs>
        <w:ind w:left="1440" w:hanging="360"/>
      </w:pPr>
      <w:rPr>
        <w:rFonts w:ascii="Wingdings" w:hAnsi="Wingdings" w:hint="default"/>
      </w:rPr>
    </w:lvl>
    <w:lvl w:ilvl="2" w:tplc="DAC41830" w:tentative="1">
      <w:start w:val="1"/>
      <w:numFmt w:val="bullet"/>
      <w:lvlText w:val=""/>
      <w:lvlJc w:val="left"/>
      <w:pPr>
        <w:tabs>
          <w:tab w:val="num" w:pos="2160"/>
        </w:tabs>
        <w:ind w:left="2160" w:hanging="360"/>
      </w:pPr>
      <w:rPr>
        <w:rFonts w:ascii="Wingdings" w:hAnsi="Wingdings" w:hint="default"/>
      </w:rPr>
    </w:lvl>
    <w:lvl w:ilvl="3" w:tplc="4716862A" w:tentative="1">
      <w:start w:val="1"/>
      <w:numFmt w:val="bullet"/>
      <w:lvlText w:val=""/>
      <w:lvlJc w:val="left"/>
      <w:pPr>
        <w:tabs>
          <w:tab w:val="num" w:pos="2880"/>
        </w:tabs>
        <w:ind w:left="2880" w:hanging="360"/>
      </w:pPr>
      <w:rPr>
        <w:rFonts w:ascii="Wingdings" w:hAnsi="Wingdings" w:hint="default"/>
      </w:rPr>
    </w:lvl>
    <w:lvl w:ilvl="4" w:tplc="83083676" w:tentative="1">
      <w:start w:val="1"/>
      <w:numFmt w:val="bullet"/>
      <w:lvlText w:val=""/>
      <w:lvlJc w:val="left"/>
      <w:pPr>
        <w:tabs>
          <w:tab w:val="num" w:pos="3600"/>
        </w:tabs>
        <w:ind w:left="3600" w:hanging="360"/>
      </w:pPr>
      <w:rPr>
        <w:rFonts w:ascii="Wingdings" w:hAnsi="Wingdings" w:hint="default"/>
      </w:rPr>
    </w:lvl>
    <w:lvl w:ilvl="5" w:tplc="A7A4AC56" w:tentative="1">
      <w:start w:val="1"/>
      <w:numFmt w:val="bullet"/>
      <w:lvlText w:val=""/>
      <w:lvlJc w:val="left"/>
      <w:pPr>
        <w:tabs>
          <w:tab w:val="num" w:pos="4320"/>
        </w:tabs>
        <w:ind w:left="4320" w:hanging="360"/>
      </w:pPr>
      <w:rPr>
        <w:rFonts w:ascii="Wingdings" w:hAnsi="Wingdings" w:hint="default"/>
      </w:rPr>
    </w:lvl>
    <w:lvl w:ilvl="6" w:tplc="D1DA2572" w:tentative="1">
      <w:start w:val="1"/>
      <w:numFmt w:val="bullet"/>
      <w:lvlText w:val=""/>
      <w:lvlJc w:val="left"/>
      <w:pPr>
        <w:tabs>
          <w:tab w:val="num" w:pos="5040"/>
        </w:tabs>
        <w:ind w:left="5040" w:hanging="360"/>
      </w:pPr>
      <w:rPr>
        <w:rFonts w:ascii="Wingdings" w:hAnsi="Wingdings" w:hint="default"/>
      </w:rPr>
    </w:lvl>
    <w:lvl w:ilvl="7" w:tplc="FB50C986" w:tentative="1">
      <w:start w:val="1"/>
      <w:numFmt w:val="bullet"/>
      <w:lvlText w:val=""/>
      <w:lvlJc w:val="left"/>
      <w:pPr>
        <w:tabs>
          <w:tab w:val="num" w:pos="5760"/>
        </w:tabs>
        <w:ind w:left="5760" w:hanging="360"/>
      </w:pPr>
      <w:rPr>
        <w:rFonts w:ascii="Wingdings" w:hAnsi="Wingdings" w:hint="default"/>
      </w:rPr>
    </w:lvl>
    <w:lvl w:ilvl="8" w:tplc="C1E057C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046CA"/>
    <w:multiLevelType w:val="hybridMultilevel"/>
    <w:tmpl w:val="F0A46C80"/>
    <w:lvl w:ilvl="0" w:tplc="7A04589E">
      <w:start w:val="1"/>
      <w:numFmt w:val="bullet"/>
      <w:lvlText w:val="-"/>
      <w:lvlJc w:val="left"/>
      <w:pPr>
        <w:ind w:left="720" w:hanging="360"/>
      </w:pPr>
      <w:rPr>
        <w:rFonts w:ascii="Verdana" w:hAnsi="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9917DA"/>
    <w:multiLevelType w:val="hybridMultilevel"/>
    <w:tmpl w:val="7830402C"/>
    <w:lvl w:ilvl="0" w:tplc="65C6D4B2">
      <w:start w:val="1"/>
      <w:numFmt w:val="bullet"/>
      <w:lvlText w:val=""/>
      <w:lvlJc w:val="left"/>
      <w:pPr>
        <w:tabs>
          <w:tab w:val="num" w:pos="720"/>
        </w:tabs>
        <w:ind w:left="720" w:hanging="360"/>
      </w:pPr>
      <w:rPr>
        <w:rFonts w:ascii="Wingdings" w:hAnsi="Wingdings" w:hint="default"/>
      </w:rPr>
    </w:lvl>
    <w:lvl w:ilvl="1" w:tplc="386869BE" w:tentative="1">
      <w:start w:val="1"/>
      <w:numFmt w:val="bullet"/>
      <w:lvlText w:val=""/>
      <w:lvlJc w:val="left"/>
      <w:pPr>
        <w:tabs>
          <w:tab w:val="num" w:pos="1440"/>
        </w:tabs>
        <w:ind w:left="1440" w:hanging="360"/>
      </w:pPr>
      <w:rPr>
        <w:rFonts w:ascii="Wingdings" w:hAnsi="Wingdings" w:hint="default"/>
      </w:rPr>
    </w:lvl>
    <w:lvl w:ilvl="2" w:tplc="053E7A7E" w:tentative="1">
      <w:start w:val="1"/>
      <w:numFmt w:val="bullet"/>
      <w:lvlText w:val=""/>
      <w:lvlJc w:val="left"/>
      <w:pPr>
        <w:tabs>
          <w:tab w:val="num" w:pos="2160"/>
        </w:tabs>
        <w:ind w:left="2160" w:hanging="360"/>
      </w:pPr>
      <w:rPr>
        <w:rFonts w:ascii="Wingdings" w:hAnsi="Wingdings" w:hint="default"/>
      </w:rPr>
    </w:lvl>
    <w:lvl w:ilvl="3" w:tplc="D2465A30" w:tentative="1">
      <w:start w:val="1"/>
      <w:numFmt w:val="bullet"/>
      <w:lvlText w:val=""/>
      <w:lvlJc w:val="left"/>
      <w:pPr>
        <w:tabs>
          <w:tab w:val="num" w:pos="2880"/>
        </w:tabs>
        <w:ind w:left="2880" w:hanging="360"/>
      </w:pPr>
      <w:rPr>
        <w:rFonts w:ascii="Wingdings" w:hAnsi="Wingdings" w:hint="default"/>
      </w:rPr>
    </w:lvl>
    <w:lvl w:ilvl="4" w:tplc="5E0A169C" w:tentative="1">
      <w:start w:val="1"/>
      <w:numFmt w:val="bullet"/>
      <w:lvlText w:val=""/>
      <w:lvlJc w:val="left"/>
      <w:pPr>
        <w:tabs>
          <w:tab w:val="num" w:pos="3600"/>
        </w:tabs>
        <w:ind w:left="3600" w:hanging="360"/>
      </w:pPr>
      <w:rPr>
        <w:rFonts w:ascii="Wingdings" w:hAnsi="Wingdings" w:hint="default"/>
      </w:rPr>
    </w:lvl>
    <w:lvl w:ilvl="5" w:tplc="B26A3CFE" w:tentative="1">
      <w:start w:val="1"/>
      <w:numFmt w:val="bullet"/>
      <w:lvlText w:val=""/>
      <w:lvlJc w:val="left"/>
      <w:pPr>
        <w:tabs>
          <w:tab w:val="num" w:pos="4320"/>
        </w:tabs>
        <w:ind w:left="4320" w:hanging="360"/>
      </w:pPr>
      <w:rPr>
        <w:rFonts w:ascii="Wingdings" w:hAnsi="Wingdings" w:hint="default"/>
      </w:rPr>
    </w:lvl>
    <w:lvl w:ilvl="6" w:tplc="5066DBF0" w:tentative="1">
      <w:start w:val="1"/>
      <w:numFmt w:val="bullet"/>
      <w:lvlText w:val=""/>
      <w:lvlJc w:val="left"/>
      <w:pPr>
        <w:tabs>
          <w:tab w:val="num" w:pos="5040"/>
        </w:tabs>
        <w:ind w:left="5040" w:hanging="360"/>
      </w:pPr>
      <w:rPr>
        <w:rFonts w:ascii="Wingdings" w:hAnsi="Wingdings" w:hint="default"/>
      </w:rPr>
    </w:lvl>
    <w:lvl w:ilvl="7" w:tplc="229C1588" w:tentative="1">
      <w:start w:val="1"/>
      <w:numFmt w:val="bullet"/>
      <w:lvlText w:val=""/>
      <w:lvlJc w:val="left"/>
      <w:pPr>
        <w:tabs>
          <w:tab w:val="num" w:pos="5760"/>
        </w:tabs>
        <w:ind w:left="5760" w:hanging="360"/>
      </w:pPr>
      <w:rPr>
        <w:rFonts w:ascii="Wingdings" w:hAnsi="Wingdings" w:hint="default"/>
      </w:rPr>
    </w:lvl>
    <w:lvl w:ilvl="8" w:tplc="4F8AF9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0148D3"/>
    <w:multiLevelType w:val="hybridMultilevel"/>
    <w:tmpl w:val="4238E6B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F76793"/>
    <w:multiLevelType w:val="hybridMultilevel"/>
    <w:tmpl w:val="BEC8B992"/>
    <w:lvl w:ilvl="0" w:tplc="0C0A0015">
      <w:start w:val="1"/>
      <w:numFmt w:val="upperLetter"/>
      <w:lvlText w:val="%1."/>
      <w:lvlJc w:val="left"/>
      <w:pPr>
        <w:ind w:left="2487" w:hanging="360"/>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9" w15:restartNumberingAfterBreak="0">
    <w:nsid w:val="283944CA"/>
    <w:multiLevelType w:val="hybridMultilevel"/>
    <w:tmpl w:val="5EB0F27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D0EA3910">
      <w:numFmt w:val="bullet"/>
      <w:lvlText w:val="-"/>
      <w:lvlJc w:val="left"/>
      <w:pPr>
        <w:ind w:left="2340" w:hanging="360"/>
      </w:pPr>
      <w:rPr>
        <w:rFonts w:ascii="Arial" w:eastAsiaTheme="minorHAnsi"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2C5C5B"/>
    <w:multiLevelType w:val="hybridMultilevel"/>
    <w:tmpl w:val="AC9C72CC"/>
    <w:lvl w:ilvl="0" w:tplc="954C31A6">
      <w:start w:val="1"/>
      <w:numFmt w:val="bullet"/>
      <w:lvlText w:val=""/>
      <w:lvlJc w:val="left"/>
      <w:pPr>
        <w:tabs>
          <w:tab w:val="num" w:pos="720"/>
        </w:tabs>
        <w:ind w:left="720" w:hanging="360"/>
      </w:pPr>
      <w:rPr>
        <w:rFonts w:ascii="Wingdings" w:hAnsi="Wingdings" w:hint="default"/>
      </w:rPr>
    </w:lvl>
    <w:lvl w:ilvl="1" w:tplc="1468163E" w:tentative="1">
      <w:start w:val="1"/>
      <w:numFmt w:val="bullet"/>
      <w:lvlText w:val=""/>
      <w:lvlJc w:val="left"/>
      <w:pPr>
        <w:tabs>
          <w:tab w:val="num" w:pos="1440"/>
        </w:tabs>
        <w:ind w:left="1440" w:hanging="360"/>
      </w:pPr>
      <w:rPr>
        <w:rFonts w:ascii="Wingdings" w:hAnsi="Wingdings" w:hint="default"/>
      </w:rPr>
    </w:lvl>
    <w:lvl w:ilvl="2" w:tplc="93E2CBB4" w:tentative="1">
      <w:start w:val="1"/>
      <w:numFmt w:val="bullet"/>
      <w:lvlText w:val=""/>
      <w:lvlJc w:val="left"/>
      <w:pPr>
        <w:tabs>
          <w:tab w:val="num" w:pos="2160"/>
        </w:tabs>
        <w:ind w:left="2160" w:hanging="360"/>
      </w:pPr>
      <w:rPr>
        <w:rFonts w:ascii="Wingdings" w:hAnsi="Wingdings" w:hint="default"/>
      </w:rPr>
    </w:lvl>
    <w:lvl w:ilvl="3" w:tplc="577CC3C0" w:tentative="1">
      <w:start w:val="1"/>
      <w:numFmt w:val="bullet"/>
      <w:lvlText w:val=""/>
      <w:lvlJc w:val="left"/>
      <w:pPr>
        <w:tabs>
          <w:tab w:val="num" w:pos="2880"/>
        </w:tabs>
        <w:ind w:left="2880" w:hanging="360"/>
      </w:pPr>
      <w:rPr>
        <w:rFonts w:ascii="Wingdings" w:hAnsi="Wingdings" w:hint="default"/>
      </w:rPr>
    </w:lvl>
    <w:lvl w:ilvl="4" w:tplc="4E1043B6" w:tentative="1">
      <w:start w:val="1"/>
      <w:numFmt w:val="bullet"/>
      <w:lvlText w:val=""/>
      <w:lvlJc w:val="left"/>
      <w:pPr>
        <w:tabs>
          <w:tab w:val="num" w:pos="3600"/>
        </w:tabs>
        <w:ind w:left="3600" w:hanging="360"/>
      </w:pPr>
      <w:rPr>
        <w:rFonts w:ascii="Wingdings" w:hAnsi="Wingdings" w:hint="default"/>
      </w:rPr>
    </w:lvl>
    <w:lvl w:ilvl="5" w:tplc="014C1F64" w:tentative="1">
      <w:start w:val="1"/>
      <w:numFmt w:val="bullet"/>
      <w:lvlText w:val=""/>
      <w:lvlJc w:val="left"/>
      <w:pPr>
        <w:tabs>
          <w:tab w:val="num" w:pos="4320"/>
        </w:tabs>
        <w:ind w:left="4320" w:hanging="360"/>
      </w:pPr>
      <w:rPr>
        <w:rFonts w:ascii="Wingdings" w:hAnsi="Wingdings" w:hint="default"/>
      </w:rPr>
    </w:lvl>
    <w:lvl w:ilvl="6" w:tplc="C43CD7B4" w:tentative="1">
      <w:start w:val="1"/>
      <w:numFmt w:val="bullet"/>
      <w:lvlText w:val=""/>
      <w:lvlJc w:val="left"/>
      <w:pPr>
        <w:tabs>
          <w:tab w:val="num" w:pos="5040"/>
        </w:tabs>
        <w:ind w:left="5040" w:hanging="360"/>
      </w:pPr>
      <w:rPr>
        <w:rFonts w:ascii="Wingdings" w:hAnsi="Wingdings" w:hint="default"/>
      </w:rPr>
    </w:lvl>
    <w:lvl w:ilvl="7" w:tplc="99584C30" w:tentative="1">
      <w:start w:val="1"/>
      <w:numFmt w:val="bullet"/>
      <w:lvlText w:val=""/>
      <w:lvlJc w:val="left"/>
      <w:pPr>
        <w:tabs>
          <w:tab w:val="num" w:pos="5760"/>
        </w:tabs>
        <w:ind w:left="5760" w:hanging="360"/>
      </w:pPr>
      <w:rPr>
        <w:rFonts w:ascii="Wingdings" w:hAnsi="Wingdings" w:hint="default"/>
      </w:rPr>
    </w:lvl>
    <w:lvl w:ilvl="8" w:tplc="38A6B4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55352B"/>
    <w:multiLevelType w:val="hybridMultilevel"/>
    <w:tmpl w:val="DC3691CA"/>
    <w:lvl w:ilvl="0" w:tplc="5D9CA4AC">
      <w:start w:val="1"/>
      <w:numFmt w:val="bullet"/>
      <w:lvlText w:val=""/>
      <w:lvlJc w:val="left"/>
      <w:pPr>
        <w:tabs>
          <w:tab w:val="num" w:pos="720"/>
        </w:tabs>
        <w:ind w:left="720" w:hanging="360"/>
      </w:pPr>
      <w:rPr>
        <w:rFonts w:ascii="Wingdings" w:hAnsi="Wingdings" w:hint="default"/>
      </w:rPr>
    </w:lvl>
    <w:lvl w:ilvl="1" w:tplc="CD8E351A">
      <w:start w:val="1"/>
      <w:numFmt w:val="bullet"/>
      <w:lvlText w:val=""/>
      <w:lvlJc w:val="left"/>
      <w:pPr>
        <w:tabs>
          <w:tab w:val="num" w:pos="1440"/>
        </w:tabs>
        <w:ind w:left="1440" w:hanging="360"/>
      </w:pPr>
      <w:rPr>
        <w:rFonts w:ascii="Wingdings" w:hAnsi="Wingdings" w:hint="default"/>
      </w:rPr>
    </w:lvl>
    <w:lvl w:ilvl="2" w:tplc="9940BA3C">
      <w:start w:val="1"/>
      <w:numFmt w:val="bullet"/>
      <w:lvlText w:val=""/>
      <w:lvlJc w:val="left"/>
      <w:pPr>
        <w:tabs>
          <w:tab w:val="num" w:pos="2160"/>
        </w:tabs>
        <w:ind w:left="2160" w:hanging="360"/>
      </w:pPr>
      <w:rPr>
        <w:rFonts w:ascii="Wingdings" w:hAnsi="Wingdings" w:hint="default"/>
      </w:rPr>
    </w:lvl>
    <w:lvl w:ilvl="3" w:tplc="44A6FD6E">
      <w:start w:val="1"/>
      <w:numFmt w:val="bullet"/>
      <w:lvlText w:val=""/>
      <w:lvlJc w:val="left"/>
      <w:pPr>
        <w:tabs>
          <w:tab w:val="num" w:pos="2880"/>
        </w:tabs>
        <w:ind w:left="2880" w:hanging="360"/>
      </w:pPr>
      <w:rPr>
        <w:rFonts w:ascii="Wingdings" w:hAnsi="Wingdings" w:hint="default"/>
      </w:rPr>
    </w:lvl>
    <w:lvl w:ilvl="4" w:tplc="1AF21CC8">
      <w:start w:val="1"/>
      <w:numFmt w:val="bullet"/>
      <w:lvlText w:val=""/>
      <w:lvlJc w:val="left"/>
      <w:pPr>
        <w:tabs>
          <w:tab w:val="num" w:pos="3600"/>
        </w:tabs>
        <w:ind w:left="3600" w:hanging="360"/>
      </w:pPr>
      <w:rPr>
        <w:rFonts w:ascii="Wingdings" w:hAnsi="Wingdings" w:hint="default"/>
      </w:rPr>
    </w:lvl>
    <w:lvl w:ilvl="5" w:tplc="6A023364">
      <w:start w:val="1"/>
      <w:numFmt w:val="bullet"/>
      <w:lvlText w:val=""/>
      <w:lvlJc w:val="left"/>
      <w:pPr>
        <w:tabs>
          <w:tab w:val="num" w:pos="4320"/>
        </w:tabs>
        <w:ind w:left="4320" w:hanging="360"/>
      </w:pPr>
      <w:rPr>
        <w:rFonts w:ascii="Wingdings" w:hAnsi="Wingdings" w:hint="default"/>
      </w:rPr>
    </w:lvl>
    <w:lvl w:ilvl="6" w:tplc="09CAF046">
      <w:start w:val="1"/>
      <w:numFmt w:val="bullet"/>
      <w:lvlText w:val=""/>
      <w:lvlJc w:val="left"/>
      <w:pPr>
        <w:tabs>
          <w:tab w:val="num" w:pos="5040"/>
        </w:tabs>
        <w:ind w:left="5040" w:hanging="360"/>
      </w:pPr>
      <w:rPr>
        <w:rFonts w:ascii="Wingdings" w:hAnsi="Wingdings" w:hint="default"/>
      </w:rPr>
    </w:lvl>
    <w:lvl w:ilvl="7" w:tplc="492C9920">
      <w:start w:val="1"/>
      <w:numFmt w:val="bullet"/>
      <w:lvlText w:val=""/>
      <w:lvlJc w:val="left"/>
      <w:pPr>
        <w:tabs>
          <w:tab w:val="num" w:pos="5760"/>
        </w:tabs>
        <w:ind w:left="5760" w:hanging="360"/>
      </w:pPr>
      <w:rPr>
        <w:rFonts w:ascii="Wingdings" w:hAnsi="Wingdings" w:hint="default"/>
      </w:rPr>
    </w:lvl>
    <w:lvl w:ilvl="8" w:tplc="E0A82EAA">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E90D9E"/>
    <w:multiLevelType w:val="hybridMultilevel"/>
    <w:tmpl w:val="2E20FD5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B12707"/>
    <w:multiLevelType w:val="hybridMultilevel"/>
    <w:tmpl w:val="C0E23226"/>
    <w:lvl w:ilvl="0" w:tplc="0C0A0001">
      <w:start w:val="1"/>
      <w:numFmt w:val="bullet"/>
      <w:lvlText w:val=""/>
      <w:lvlJc w:val="left"/>
      <w:pPr>
        <w:tabs>
          <w:tab w:val="num" w:pos="720"/>
        </w:tabs>
        <w:ind w:left="720" w:hanging="360"/>
      </w:pPr>
      <w:rPr>
        <w:rFonts w:ascii="Symbol" w:hAnsi="Symbol" w:hint="default"/>
      </w:rPr>
    </w:lvl>
    <w:lvl w:ilvl="1" w:tplc="946A531E">
      <w:numFmt w:val="bullet"/>
      <w:lvlText w:val="•"/>
      <w:lvlJc w:val="left"/>
      <w:pPr>
        <w:tabs>
          <w:tab w:val="num" w:pos="1440"/>
        </w:tabs>
        <w:ind w:left="1440" w:hanging="360"/>
      </w:pPr>
      <w:rPr>
        <w:rFonts w:ascii="Arial" w:hAnsi="Arial" w:hint="default"/>
      </w:rPr>
    </w:lvl>
    <w:lvl w:ilvl="2" w:tplc="FFC489A4">
      <w:start w:val="1"/>
      <w:numFmt w:val="bullet"/>
      <w:lvlText w:val=""/>
      <w:lvlJc w:val="left"/>
      <w:pPr>
        <w:tabs>
          <w:tab w:val="num" w:pos="2160"/>
        </w:tabs>
        <w:ind w:left="2160" w:hanging="360"/>
      </w:pPr>
      <w:rPr>
        <w:rFonts w:ascii="Wingdings" w:hAnsi="Wingdings" w:hint="default"/>
      </w:rPr>
    </w:lvl>
    <w:lvl w:ilvl="3" w:tplc="E8EEB816" w:tentative="1">
      <w:start w:val="1"/>
      <w:numFmt w:val="bullet"/>
      <w:lvlText w:val=""/>
      <w:lvlJc w:val="left"/>
      <w:pPr>
        <w:tabs>
          <w:tab w:val="num" w:pos="2880"/>
        </w:tabs>
        <w:ind w:left="2880" w:hanging="360"/>
      </w:pPr>
      <w:rPr>
        <w:rFonts w:ascii="Wingdings" w:hAnsi="Wingdings" w:hint="default"/>
      </w:rPr>
    </w:lvl>
    <w:lvl w:ilvl="4" w:tplc="B518FD9E" w:tentative="1">
      <w:start w:val="1"/>
      <w:numFmt w:val="bullet"/>
      <w:lvlText w:val=""/>
      <w:lvlJc w:val="left"/>
      <w:pPr>
        <w:tabs>
          <w:tab w:val="num" w:pos="3600"/>
        </w:tabs>
        <w:ind w:left="3600" w:hanging="360"/>
      </w:pPr>
      <w:rPr>
        <w:rFonts w:ascii="Wingdings" w:hAnsi="Wingdings" w:hint="default"/>
      </w:rPr>
    </w:lvl>
    <w:lvl w:ilvl="5" w:tplc="52B44C66" w:tentative="1">
      <w:start w:val="1"/>
      <w:numFmt w:val="bullet"/>
      <w:lvlText w:val=""/>
      <w:lvlJc w:val="left"/>
      <w:pPr>
        <w:tabs>
          <w:tab w:val="num" w:pos="4320"/>
        </w:tabs>
        <w:ind w:left="4320" w:hanging="360"/>
      </w:pPr>
      <w:rPr>
        <w:rFonts w:ascii="Wingdings" w:hAnsi="Wingdings" w:hint="default"/>
      </w:rPr>
    </w:lvl>
    <w:lvl w:ilvl="6" w:tplc="360CECD4" w:tentative="1">
      <w:start w:val="1"/>
      <w:numFmt w:val="bullet"/>
      <w:lvlText w:val=""/>
      <w:lvlJc w:val="left"/>
      <w:pPr>
        <w:tabs>
          <w:tab w:val="num" w:pos="5040"/>
        </w:tabs>
        <w:ind w:left="5040" w:hanging="360"/>
      </w:pPr>
      <w:rPr>
        <w:rFonts w:ascii="Wingdings" w:hAnsi="Wingdings" w:hint="default"/>
      </w:rPr>
    </w:lvl>
    <w:lvl w:ilvl="7" w:tplc="486A7962" w:tentative="1">
      <w:start w:val="1"/>
      <w:numFmt w:val="bullet"/>
      <w:lvlText w:val=""/>
      <w:lvlJc w:val="left"/>
      <w:pPr>
        <w:tabs>
          <w:tab w:val="num" w:pos="5760"/>
        </w:tabs>
        <w:ind w:left="5760" w:hanging="360"/>
      </w:pPr>
      <w:rPr>
        <w:rFonts w:ascii="Wingdings" w:hAnsi="Wingdings" w:hint="default"/>
      </w:rPr>
    </w:lvl>
    <w:lvl w:ilvl="8" w:tplc="1FC65E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F31646"/>
    <w:multiLevelType w:val="hybridMultilevel"/>
    <w:tmpl w:val="3AC88446"/>
    <w:lvl w:ilvl="0" w:tplc="74F0B16E">
      <w:start w:val="1"/>
      <w:numFmt w:val="bullet"/>
      <w:lvlText w:val="-"/>
      <w:lvlJc w:val="left"/>
      <w:pPr>
        <w:ind w:left="3721" w:hanging="360"/>
      </w:pPr>
      <w:rPr>
        <w:rFonts w:ascii="Verdana" w:hAnsi="Verdana" w:hint="default"/>
        <w:color w:val="auto"/>
      </w:rPr>
    </w:lvl>
    <w:lvl w:ilvl="1" w:tplc="0C0A0003">
      <w:start w:val="1"/>
      <w:numFmt w:val="bullet"/>
      <w:lvlText w:val="o"/>
      <w:lvlJc w:val="left"/>
      <w:pPr>
        <w:ind w:left="2461" w:hanging="360"/>
      </w:pPr>
      <w:rPr>
        <w:rFonts w:ascii="Courier New" w:hAnsi="Courier New" w:cs="Courier New" w:hint="default"/>
      </w:rPr>
    </w:lvl>
    <w:lvl w:ilvl="2" w:tplc="0C0A0005" w:tentative="1">
      <w:start w:val="1"/>
      <w:numFmt w:val="bullet"/>
      <w:lvlText w:val=""/>
      <w:lvlJc w:val="left"/>
      <w:pPr>
        <w:ind w:left="3181" w:hanging="360"/>
      </w:pPr>
      <w:rPr>
        <w:rFonts w:ascii="Wingdings" w:hAnsi="Wingdings" w:hint="default"/>
      </w:rPr>
    </w:lvl>
    <w:lvl w:ilvl="3" w:tplc="0C0A0001" w:tentative="1">
      <w:start w:val="1"/>
      <w:numFmt w:val="bullet"/>
      <w:lvlText w:val=""/>
      <w:lvlJc w:val="left"/>
      <w:pPr>
        <w:ind w:left="3901" w:hanging="360"/>
      </w:pPr>
      <w:rPr>
        <w:rFonts w:ascii="Symbol" w:hAnsi="Symbol" w:hint="default"/>
      </w:rPr>
    </w:lvl>
    <w:lvl w:ilvl="4" w:tplc="0C0A0003" w:tentative="1">
      <w:start w:val="1"/>
      <w:numFmt w:val="bullet"/>
      <w:lvlText w:val="o"/>
      <w:lvlJc w:val="left"/>
      <w:pPr>
        <w:ind w:left="4621" w:hanging="360"/>
      </w:pPr>
      <w:rPr>
        <w:rFonts w:ascii="Courier New" w:hAnsi="Courier New" w:cs="Courier New" w:hint="default"/>
      </w:rPr>
    </w:lvl>
    <w:lvl w:ilvl="5" w:tplc="0C0A0005" w:tentative="1">
      <w:start w:val="1"/>
      <w:numFmt w:val="bullet"/>
      <w:lvlText w:val=""/>
      <w:lvlJc w:val="left"/>
      <w:pPr>
        <w:ind w:left="5341" w:hanging="360"/>
      </w:pPr>
      <w:rPr>
        <w:rFonts w:ascii="Wingdings" w:hAnsi="Wingdings" w:hint="default"/>
      </w:rPr>
    </w:lvl>
    <w:lvl w:ilvl="6" w:tplc="0C0A0001" w:tentative="1">
      <w:start w:val="1"/>
      <w:numFmt w:val="bullet"/>
      <w:lvlText w:val=""/>
      <w:lvlJc w:val="left"/>
      <w:pPr>
        <w:ind w:left="6061" w:hanging="360"/>
      </w:pPr>
      <w:rPr>
        <w:rFonts w:ascii="Symbol" w:hAnsi="Symbol" w:hint="default"/>
      </w:rPr>
    </w:lvl>
    <w:lvl w:ilvl="7" w:tplc="0C0A0003" w:tentative="1">
      <w:start w:val="1"/>
      <w:numFmt w:val="bullet"/>
      <w:lvlText w:val="o"/>
      <w:lvlJc w:val="left"/>
      <w:pPr>
        <w:ind w:left="6781" w:hanging="360"/>
      </w:pPr>
      <w:rPr>
        <w:rFonts w:ascii="Courier New" w:hAnsi="Courier New" w:cs="Courier New" w:hint="default"/>
      </w:rPr>
    </w:lvl>
    <w:lvl w:ilvl="8" w:tplc="0C0A0005" w:tentative="1">
      <w:start w:val="1"/>
      <w:numFmt w:val="bullet"/>
      <w:lvlText w:val=""/>
      <w:lvlJc w:val="left"/>
      <w:pPr>
        <w:ind w:left="7501" w:hanging="360"/>
      </w:pPr>
      <w:rPr>
        <w:rFonts w:ascii="Wingdings" w:hAnsi="Wingdings" w:hint="default"/>
      </w:rPr>
    </w:lvl>
  </w:abstractNum>
  <w:abstractNum w:abstractNumId="15" w15:restartNumberingAfterBreak="0">
    <w:nsid w:val="513B0160"/>
    <w:multiLevelType w:val="hybridMultilevel"/>
    <w:tmpl w:val="AA82CC0A"/>
    <w:lvl w:ilvl="0" w:tplc="4210AA1C">
      <w:start w:val="172"/>
      <w:numFmt w:val="bullet"/>
      <w:lvlText w:val="–"/>
      <w:lvlJc w:val="left"/>
      <w:pPr>
        <w:tabs>
          <w:tab w:val="num" w:pos="720"/>
        </w:tabs>
        <w:ind w:left="720" w:hanging="360"/>
      </w:pPr>
      <w:rPr>
        <w:rFonts w:ascii="Verdana" w:hAnsi="Verdana" w:cs="Verdana" w:hint="default"/>
        <w:b w:val="0"/>
        <w:i w:val="0"/>
        <w:color w:val="auto"/>
        <w:sz w:val="16"/>
      </w:rPr>
    </w:lvl>
    <w:lvl w:ilvl="1" w:tplc="F5B25544">
      <w:start w:val="1"/>
      <w:numFmt w:val="decimal"/>
      <w:lvlText w:val="%2."/>
      <w:lvlJc w:val="left"/>
      <w:pPr>
        <w:tabs>
          <w:tab w:val="num" w:pos="1440"/>
        </w:tabs>
        <w:ind w:left="1440" w:hanging="360"/>
      </w:pPr>
      <w:rPr>
        <w:rFonts w:ascii="Arial Narrow" w:hAnsi="Arial Narrow" w:hint="default"/>
        <w:b w:val="0"/>
        <w:i w:val="0"/>
        <w:color w:val="auto"/>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48366A3"/>
    <w:multiLevelType w:val="hybridMultilevel"/>
    <w:tmpl w:val="9B8A88EA"/>
    <w:lvl w:ilvl="0" w:tplc="AFDC3C30">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59BF3D4B"/>
    <w:multiLevelType w:val="hybridMultilevel"/>
    <w:tmpl w:val="469A0F2A"/>
    <w:lvl w:ilvl="0" w:tplc="7A04589E">
      <w:start w:val="1"/>
      <w:numFmt w:val="bullet"/>
      <w:lvlText w:val="-"/>
      <w:lvlJc w:val="left"/>
      <w:pPr>
        <w:ind w:left="720" w:hanging="360"/>
      </w:pPr>
      <w:rPr>
        <w:rFonts w:ascii="Verdana" w:hAnsi="Verdana" w:hint="default"/>
      </w:rPr>
    </w:lvl>
    <w:lvl w:ilvl="1" w:tplc="1F963BD4">
      <w:numFmt w:val="bullet"/>
      <w:lvlText w:val="•"/>
      <w:lvlJc w:val="left"/>
      <w:pPr>
        <w:ind w:left="2100" w:hanging="1020"/>
      </w:pPr>
      <w:rPr>
        <w:rFonts w:ascii="Calibri Light" w:eastAsiaTheme="minorHAnsi" w:hAnsi="Calibri Light" w:cs="Calibri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0A6BC2"/>
    <w:multiLevelType w:val="hybridMultilevel"/>
    <w:tmpl w:val="63DA0934"/>
    <w:lvl w:ilvl="0" w:tplc="954C31A6">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627F7C1C"/>
    <w:multiLevelType w:val="hybridMultilevel"/>
    <w:tmpl w:val="0226BDB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FD47C3"/>
    <w:multiLevelType w:val="hybridMultilevel"/>
    <w:tmpl w:val="B516A582"/>
    <w:lvl w:ilvl="0" w:tplc="0C0A0001">
      <w:start w:val="1"/>
      <w:numFmt w:val="bullet"/>
      <w:lvlText w:val=""/>
      <w:lvlJc w:val="left"/>
      <w:pPr>
        <w:ind w:left="1741" w:hanging="360"/>
      </w:pPr>
      <w:rPr>
        <w:rFonts w:ascii="Symbol" w:hAnsi="Symbol" w:hint="default"/>
      </w:rPr>
    </w:lvl>
    <w:lvl w:ilvl="1" w:tplc="0C0A0003" w:tentative="1">
      <w:start w:val="1"/>
      <w:numFmt w:val="bullet"/>
      <w:lvlText w:val="o"/>
      <w:lvlJc w:val="left"/>
      <w:pPr>
        <w:ind w:left="2461" w:hanging="360"/>
      </w:pPr>
      <w:rPr>
        <w:rFonts w:ascii="Courier New" w:hAnsi="Courier New" w:cs="Courier New" w:hint="default"/>
      </w:rPr>
    </w:lvl>
    <w:lvl w:ilvl="2" w:tplc="0C0A0005" w:tentative="1">
      <w:start w:val="1"/>
      <w:numFmt w:val="bullet"/>
      <w:lvlText w:val=""/>
      <w:lvlJc w:val="left"/>
      <w:pPr>
        <w:ind w:left="3181" w:hanging="360"/>
      </w:pPr>
      <w:rPr>
        <w:rFonts w:ascii="Wingdings" w:hAnsi="Wingdings" w:hint="default"/>
      </w:rPr>
    </w:lvl>
    <w:lvl w:ilvl="3" w:tplc="0C0A0001" w:tentative="1">
      <w:start w:val="1"/>
      <w:numFmt w:val="bullet"/>
      <w:lvlText w:val=""/>
      <w:lvlJc w:val="left"/>
      <w:pPr>
        <w:ind w:left="3901" w:hanging="360"/>
      </w:pPr>
      <w:rPr>
        <w:rFonts w:ascii="Symbol" w:hAnsi="Symbol" w:hint="default"/>
      </w:rPr>
    </w:lvl>
    <w:lvl w:ilvl="4" w:tplc="0C0A0003" w:tentative="1">
      <w:start w:val="1"/>
      <w:numFmt w:val="bullet"/>
      <w:lvlText w:val="o"/>
      <w:lvlJc w:val="left"/>
      <w:pPr>
        <w:ind w:left="4621" w:hanging="360"/>
      </w:pPr>
      <w:rPr>
        <w:rFonts w:ascii="Courier New" w:hAnsi="Courier New" w:cs="Courier New" w:hint="default"/>
      </w:rPr>
    </w:lvl>
    <w:lvl w:ilvl="5" w:tplc="0C0A0005" w:tentative="1">
      <w:start w:val="1"/>
      <w:numFmt w:val="bullet"/>
      <w:lvlText w:val=""/>
      <w:lvlJc w:val="left"/>
      <w:pPr>
        <w:ind w:left="5341" w:hanging="360"/>
      </w:pPr>
      <w:rPr>
        <w:rFonts w:ascii="Wingdings" w:hAnsi="Wingdings" w:hint="default"/>
      </w:rPr>
    </w:lvl>
    <w:lvl w:ilvl="6" w:tplc="0C0A0001" w:tentative="1">
      <w:start w:val="1"/>
      <w:numFmt w:val="bullet"/>
      <w:lvlText w:val=""/>
      <w:lvlJc w:val="left"/>
      <w:pPr>
        <w:ind w:left="6061" w:hanging="360"/>
      </w:pPr>
      <w:rPr>
        <w:rFonts w:ascii="Symbol" w:hAnsi="Symbol" w:hint="default"/>
      </w:rPr>
    </w:lvl>
    <w:lvl w:ilvl="7" w:tplc="0C0A0003" w:tentative="1">
      <w:start w:val="1"/>
      <w:numFmt w:val="bullet"/>
      <w:lvlText w:val="o"/>
      <w:lvlJc w:val="left"/>
      <w:pPr>
        <w:ind w:left="6781" w:hanging="360"/>
      </w:pPr>
      <w:rPr>
        <w:rFonts w:ascii="Courier New" w:hAnsi="Courier New" w:cs="Courier New" w:hint="default"/>
      </w:rPr>
    </w:lvl>
    <w:lvl w:ilvl="8" w:tplc="0C0A0005" w:tentative="1">
      <w:start w:val="1"/>
      <w:numFmt w:val="bullet"/>
      <w:lvlText w:val=""/>
      <w:lvlJc w:val="left"/>
      <w:pPr>
        <w:ind w:left="7501" w:hanging="360"/>
      </w:pPr>
      <w:rPr>
        <w:rFonts w:ascii="Wingdings" w:hAnsi="Wingdings" w:hint="default"/>
      </w:rPr>
    </w:lvl>
  </w:abstractNum>
  <w:abstractNum w:abstractNumId="21" w15:restartNumberingAfterBreak="0">
    <w:nsid w:val="64C514BE"/>
    <w:multiLevelType w:val="multilevel"/>
    <w:tmpl w:val="47CE3478"/>
    <w:lvl w:ilvl="0">
      <w:start w:val="1"/>
      <w:numFmt w:val="decimal"/>
      <w:lvlText w:val="%1."/>
      <w:lvlJc w:val="left"/>
      <w:pPr>
        <w:ind w:left="720" w:hanging="360"/>
      </w:pPr>
    </w:lvl>
    <w:lvl w:ilvl="1">
      <w:start w:val="1"/>
      <w:numFmt w:val="decimal"/>
      <w:isLgl/>
      <w:lvlText w:val="%1.%2"/>
      <w:lvlJc w:val="left"/>
      <w:pPr>
        <w:ind w:left="744" w:hanging="384"/>
      </w:pPr>
    </w:lvl>
    <w:lvl w:ilvl="2">
      <w:start w:val="1"/>
      <w:numFmt w:val="decimal"/>
      <w:isLgl/>
      <w:lvlText w:val="%1.%2.%3"/>
      <w:lvlJc w:val="left"/>
      <w:pPr>
        <w:ind w:left="3698" w:hanging="720"/>
      </w:pPr>
      <w:rPr>
        <w:b/>
        <w:color w:val="000000" w:themeColor="text1"/>
        <w:sz w:val="24"/>
        <w:szCs w:val="24"/>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6F35441"/>
    <w:multiLevelType w:val="hybridMultilevel"/>
    <w:tmpl w:val="238E446C"/>
    <w:lvl w:ilvl="0" w:tplc="2E7A5974">
      <w:start w:val="1"/>
      <w:numFmt w:val="bullet"/>
      <w:lvlText w:val=""/>
      <w:lvlJc w:val="left"/>
      <w:pPr>
        <w:tabs>
          <w:tab w:val="num" w:pos="720"/>
        </w:tabs>
        <w:ind w:left="720" w:hanging="360"/>
      </w:pPr>
      <w:rPr>
        <w:rFonts w:ascii="Wingdings" w:hAnsi="Wingdings" w:hint="default"/>
      </w:rPr>
    </w:lvl>
    <w:lvl w:ilvl="1" w:tplc="08F8968A">
      <w:numFmt w:val="bullet"/>
      <w:lvlText w:val=""/>
      <w:lvlJc w:val="left"/>
      <w:pPr>
        <w:tabs>
          <w:tab w:val="num" w:pos="1440"/>
        </w:tabs>
        <w:ind w:left="1440" w:hanging="360"/>
      </w:pPr>
      <w:rPr>
        <w:rFonts w:ascii="Wingdings" w:hAnsi="Wingdings" w:hint="default"/>
      </w:rPr>
    </w:lvl>
    <w:lvl w:ilvl="2" w:tplc="BBD69BCE">
      <w:start w:val="1"/>
      <w:numFmt w:val="bullet"/>
      <w:lvlText w:val=""/>
      <w:lvlJc w:val="left"/>
      <w:pPr>
        <w:tabs>
          <w:tab w:val="num" w:pos="2160"/>
        </w:tabs>
        <w:ind w:left="2160" w:hanging="360"/>
      </w:pPr>
      <w:rPr>
        <w:rFonts w:ascii="Wingdings" w:hAnsi="Wingdings" w:hint="default"/>
      </w:rPr>
    </w:lvl>
    <w:lvl w:ilvl="3" w:tplc="D906730A">
      <w:start w:val="1"/>
      <w:numFmt w:val="bullet"/>
      <w:lvlText w:val=""/>
      <w:lvlJc w:val="left"/>
      <w:pPr>
        <w:tabs>
          <w:tab w:val="num" w:pos="2880"/>
        </w:tabs>
        <w:ind w:left="2880" w:hanging="360"/>
      </w:pPr>
      <w:rPr>
        <w:rFonts w:ascii="Wingdings" w:hAnsi="Wingdings" w:hint="default"/>
      </w:rPr>
    </w:lvl>
    <w:lvl w:ilvl="4" w:tplc="A900EC80">
      <w:start w:val="1"/>
      <w:numFmt w:val="bullet"/>
      <w:lvlText w:val=""/>
      <w:lvlJc w:val="left"/>
      <w:pPr>
        <w:tabs>
          <w:tab w:val="num" w:pos="3600"/>
        </w:tabs>
        <w:ind w:left="3600" w:hanging="360"/>
      </w:pPr>
      <w:rPr>
        <w:rFonts w:ascii="Wingdings" w:hAnsi="Wingdings" w:hint="default"/>
      </w:rPr>
    </w:lvl>
    <w:lvl w:ilvl="5" w:tplc="83BC3B92">
      <w:start w:val="1"/>
      <w:numFmt w:val="bullet"/>
      <w:lvlText w:val=""/>
      <w:lvlJc w:val="left"/>
      <w:pPr>
        <w:tabs>
          <w:tab w:val="num" w:pos="4320"/>
        </w:tabs>
        <w:ind w:left="4320" w:hanging="360"/>
      </w:pPr>
      <w:rPr>
        <w:rFonts w:ascii="Wingdings" w:hAnsi="Wingdings" w:hint="default"/>
      </w:rPr>
    </w:lvl>
    <w:lvl w:ilvl="6" w:tplc="BD5E63BA">
      <w:start w:val="1"/>
      <w:numFmt w:val="bullet"/>
      <w:lvlText w:val=""/>
      <w:lvlJc w:val="left"/>
      <w:pPr>
        <w:tabs>
          <w:tab w:val="num" w:pos="5040"/>
        </w:tabs>
        <w:ind w:left="5040" w:hanging="360"/>
      </w:pPr>
      <w:rPr>
        <w:rFonts w:ascii="Wingdings" w:hAnsi="Wingdings" w:hint="default"/>
      </w:rPr>
    </w:lvl>
    <w:lvl w:ilvl="7" w:tplc="54EAFFE0">
      <w:start w:val="1"/>
      <w:numFmt w:val="bullet"/>
      <w:lvlText w:val=""/>
      <w:lvlJc w:val="left"/>
      <w:pPr>
        <w:tabs>
          <w:tab w:val="num" w:pos="5760"/>
        </w:tabs>
        <w:ind w:left="5760" w:hanging="360"/>
      </w:pPr>
      <w:rPr>
        <w:rFonts w:ascii="Wingdings" w:hAnsi="Wingdings" w:hint="default"/>
      </w:rPr>
    </w:lvl>
    <w:lvl w:ilvl="8" w:tplc="F26A96DA">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6311AA"/>
    <w:multiLevelType w:val="hybridMultilevel"/>
    <w:tmpl w:val="3D044F36"/>
    <w:lvl w:ilvl="0" w:tplc="0C0A0001">
      <w:start w:val="1"/>
      <w:numFmt w:val="bullet"/>
      <w:lvlText w:val=""/>
      <w:lvlJc w:val="left"/>
      <w:pPr>
        <w:ind w:left="1080" w:hanging="360"/>
      </w:pPr>
      <w:rPr>
        <w:rFonts w:ascii="Symbol" w:hAnsi="Symbol" w:hint="default"/>
      </w:rPr>
    </w:lvl>
    <w:lvl w:ilvl="1" w:tplc="D0EA3910">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6BCB2BC1"/>
    <w:multiLevelType w:val="hybridMultilevel"/>
    <w:tmpl w:val="B7C0F70E"/>
    <w:lvl w:ilvl="0" w:tplc="74F0B16E">
      <w:start w:val="1"/>
      <w:numFmt w:val="bullet"/>
      <w:lvlText w:val="-"/>
      <w:lvlJc w:val="left"/>
      <w:pPr>
        <w:ind w:left="2700" w:hanging="360"/>
      </w:pPr>
      <w:rPr>
        <w:rFonts w:ascii="Verdana" w:hAnsi="Verdana" w:hint="default"/>
        <w:color w:val="auto"/>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5" w15:restartNumberingAfterBreak="0">
    <w:nsid w:val="73014217"/>
    <w:multiLevelType w:val="hybridMultilevel"/>
    <w:tmpl w:val="5BF06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AEB5666"/>
    <w:multiLevelType w:val="hybridMultilevel"/>
    <w:tmpl w:val="8918017C"/>
    <w:lvl w:ilvl="0" w:tplc="0C0A000F">
      <w:start w:val="1"/>
      <w:numFmt w:val="decimal"/>
      <w:lvlText w:val="%1."/>
      <w:lvlJc w:val="left"/>
      <w:pPr>
        <w:tabs>
          <w:tab w:val="num" w:pos="720"/>
        </w:tabs>
        <w:ind w:left="720" w:hanging="360"/>
      </w:pPr>
    </w:lvl>
    <w:lvl w:ilvl="1" w:tplc="B2528218" w:tentative="1">
      <w:start w:val="1"/>
      <w:numFmt w:val="decimal"/>
      <w:lvlText w:val="%2)"/>
      <w:lvlJc w:val="left"/>
      <w:pPr>
        <w:tabs>
          <w:tab w:val="num" w:pos="1440"/>
        </w:tabs>
        <w:ind w:left="1440" w:hanging="360"/>
      </w:pPr>
    </w:lvl>
    <w:lvl w:ilvl="2" w:tplc="51D609DC" w:tentative="1">
      <w:start w:val="1"/>
      <w:numFmt w:val="decimal"/>
      <w:lvlText w:val="%3)"/>
      <w:lvlJc w:val="left"/>
      <w:pPr>
        <w:tabs>
          <w:tab w:val="num" w:pos="2160"/>
        </w:tabs>
        <w:ind w:left="2160" w:hanging="360"/>
      </w:pPr>
    </w:lvl>
    <w:lvl w:ilvl="3" w:tplc="89E48166" w:tentative="1">
      <w:start w:val="1"/>
      <w:numFmt w:val="decimal"/>
      <w:lvlText w:val="%4)"/>
      <w:lvlJc w:val="left"/>
      <w:pPr>
        <w:tabs>
          <w:tab w:val="num" w:pos="2880"/>
        </w:tabs>
        <w:ind w:left="2880" w:hanging="360"/>
      </w:pPr>
    </w:lvl>
    <w:lvl w:ilvl="4" w:tplc="AE00B47C" w:tentative="1">
      <w:start w:val="1"/>
      <w:numFmt w:val="decimal"/>
      <w:lvlText w:val="%5)"/>
      <w:lvlJc w:val="left"/>
      <w:pPr>
        <w:tabs>
          <w:tab w:val="num" w:pos="3600"/>
        </w:tabs>
        <w:ind w:left="3600" w:hanging="360"/>
      </w:pPr>
    </w:lvl>
    <w:lvl w:ilvl="5" w:tplc="656EA9A6" w:tentative="1">
      <w:start w:val="1"/>
      <w:numFmt w:val="decimal"/>
      <w:lvlText w:val="%6)"/>
      <w:lvlJc w:val="left"/>
      <w:pPr>
        <w:tabs>
          <w:tab w:val="num" w:pos="4320"/>
        </w:tabs>
        <w:ind w:left="4320" w:hanging="360"/>
      </w:pPr>
    </w:lvl>
    <w:lvl w:ilvl="6" w:tplc="B9800AA0" w:tentative="1">
      <w:start w:val="1"/>
      <w:numFmt w:val="decimal"/>
      <w:lvlText w:val="%7)"/>
      <w:lvlJc w:val="left"/>
      <w:pPr>
        <w:tabs>
          <w:tab w:val="num" w:pos="5040"/>
        </w:tabs>
        <w:ind w:left="5040" w:hanging="360"/>
      </w:pPr>
    </w:lvl>
    <w:lvl w:ilvl="7" w:tplc="00FC436E" w:tentative="1">
      <w:start w:val="1"/>
      <w:numFmt w:val="decimal"/>
      <w:lvlText w:val="%8)"/>
      <w:lvlJc w:val="left"/>
      <w:pPr>
        <w:tabs>
          <w:tab w:val="num" w:pos="5760"/>
        </w:tabs>
        <w:ind w:left="5760" w:hanging="360"/>
      </w:pPr>
    </w:lvl>
    <w:lvl w:ilvl="8" w:tplc="258845B2" w:tentative="1">
      <w:start w:val="1"/>
      <w:numFmt w:val="decimal"/>
      <w:lvlText w:val="%9)"/>
      <w:lvlJc w:val="left"/>
      <w:pPr>
        <w:tabs>
          <w:tab w:val="num" w:pos="6480"/>
        </w:tabs>
        <w:ind w:left="6480" w:hanging="360"/>
      </w:pPr>
    </w:lvl>
  </w:abstractNum>
  <w:abstractNum w:abstractNumId="27" w15:restartNumberingAfterBreak="0">
    <w:nsid w:val="7B391C0E"/>
    <w:multiLevelType w:val="hybridMultilevel"/>
    <w:tmpl w:val="EA1A94E2"/>
    <w:lvl w:ilvl="0" w:tplc="4210AA1C">
      <w:start w:val="172"/>
      <w:numFmt w:val="bullet"/>
      <w:lvlText w:val="–"/>
      <w:lvlJc w:val="left"/>
      <w:pPr>
        <w:tabs>
          <w:tab w:val="num" w:pos="720"/>
        </w:tabs>
        <w:ind w:left="720" w:hanging="360"/>
      </w:pPr>
      <w:rPr>
        <w:rFonts w:ascii="Verdana" w:hAnsi="Verdana" w:cs="Verdana" w:hint="default"/>
        <w:b w:val="0"/>
        <w:i w:val="0"/>
        <w:color w:val="auto"/>
        <w:sz w:val="16"/>
      </w:rPr>
    </w:lvl>
    <w:lvl w:ilvl="1" w:tplc="5794645E">
      <w:start w:val="1"/>
      <w:numFmt w:val="bullet"/>
      <w:lvlText w:val=""/>
      <w:lvlJc w:val="left"/>
      <w:pPr>
        <w:tabs>
          <w:tab w:val="num" w:pos="1440"/>
        </w:tabs>
        <w:ind w:left="1440" w:hanging="360"/>
      </w:pPr>
      <w:rPr>
        <w:rFonts w:ascii="Symbol" w:hAnsi="Symbol" w:hint="default"/>
        <w:b w:val="0"/>
        <w:i w:val="0"/>
        <w:color w:val="auto"/>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7BFD62D8"/>
    <w:multiLevelType w:val="hybridMultilevel"/>
    <w:tmpl w:val="B754AFA0"/>
    <w:lvl w:ilvl="0" w:tplc="15E2DBF4">
      <w:start w:val="4"/>
      <w:numFmt w:val="bullet"/>
      <w:lvlText w:val="-"/>
      <w:lvlJc w:val="left"/>
      <w:pPr>
        <w:ind w:left="2203" w:hanging="360"/>
      </w:pPr>
      <w:rPr>
        <w:rFonts w:ascii="Calibri Light" w:eastAsia="Times New Roman" w:hAnsi="Calibri Light" w:cs="Calibri Light" w:hint="default"/>
      </w:rPr>
    </w:lvl>
    <w:lvl w:ilvl="1" w:tplc="040C0003">
      <w:start w:val="1"/>
      <w:numFmt w:val="bullet"/>
      <w:lvlText w:val="o"/>
      <w:lvlJc w:val="left"/>
      <w:pPr>
        <w:ind w:left="2923" w:hanging="360"/>
      </w:pPr>
      <w:rPr>
        <w:rFonts w:ascii="Courier New" w:hAnsi="Courier New" w:cs="Courier New" w:hint="default"/>
      </w:rPr>
    </w:lvl>
    <w:lvl w:ilvl="2" w:tplc="040C0005">
      <w:start w:val="1"/>
      <w:numFmt w:val="bullet"/>
      <w:lvlText w:val=""/>
      <w:lvlJc w:val="left"/>
      <w:pPr>
        <w:ind w:left="3643" w:hanging="360"/>
      </w:pPr>
      <w:rPr>
        <w:rFonts w:ascii="Wingdings" w:hAnsi="Wingdings" w:hint="default"/>
      </w:rPr>
    </w:lvl>
    <w:lvl w:ilvl="3" w:tplc="040C0001">
      <w:start w:val="1"/>
      <w:numFmt w:val="bullet"/>
      <w:lvlText w:val=""/>
      <w:lvlJc w:val="left"/>
      <w:pPr>
        <w:ind w:left="4363" w:hanging="360"/>
      </w:pPr>
      <w:rPr>
        <w:rFonts w:ascii="Symbol" w:hAnsi="Symbol" w:hint="default"/>
      </w:rPr>
    </w:lvl>
    <w:lvl w:ilvl="4" w:tplc="040C0003">
      <w:start w:val="1"/>
      <w:numFmt w:val="bullet"/>
      <w:lvlText w:val="o"/>
      <w:lvlJc w:val="left"/>
      <w:pPr>
        <w:ind w:left="5083" w:hanging="360"/>
      </w:pPr>
      <w:rPr>
        <w:rFonts w:ascii="Courier New" w:hAnsi="Courier New" w:cs="Courier New" w:hint="default"/>
      </w:rPr>
    </w:lvl>
    <w:lvl w:ilvl="5" w:tplc="040C0005">
      <w:start w:val="1"/>
      <w:numFmt w:val="bullet"/>
      <w:lvlText w:val=""/>
      <w:lvlJc w:val="left"/>
      <w:pPr>
        <w:ind w:left="5803" w:hanging="360"/>
      </w:pPr>
      <w:rPr>
        <w:rFonts w:ascii="Wingdings" w:hAnsi="Wingdings" w:hint="default"/>
      </w:rPr>
    </w:lvl>
    <w:lvl w:ilvl="6" w:tplc="040C0001">
      <w:start w:val="1"/>
      <w:numFmt w:val="bullet"/>
      <w:lvlText w:val=""/>
      <w:lvlJc w:val="left"/>
      <w:pPr>
        <w:ind w:left="6523" w:hanging="360"/>
      </w:pPr>
      <w:rPr>
        <w:rFonts w:ascii="Symbol" w:hAnsi="Symbol" w:hint="default"/>
      </w:rPr>
    </w:lvl>
    <w:lvl w:ilvl="7" w:tplc="040C0003">
      <w:start w:val="1"/>
      <w:numFmt w:val="bullet"/>
      <w:lvlText w:val="o"/>
      <w:lvlJc w:val="left"/>
      <w:pPr>
        <w:ind w:left="7243" w:hanging="360"/>
      </w:pPr>
      <w:rPr>
        <w:rFonts w:ascii="Courier New" w:hAnsi="Courier New" w:cs="Courier New" w:hint="default"/>
      </w:rPr>
    </w:lvl>
    <w:lvl w:ilvl="8" w:tplc="040C0005">
      <w:start w:val="1"/>
      <w:numFmt w:val="bullet"/>
      <w:lvlText w:val=""/>
      <w:lvlJc w:val="left"/>
      <w:pPr>
        <w:ind w:left="7963" w:hanging="360"/>
      </w:pPr>
      <w:rPr>
        <w:rFonts w:ascii="Wingdings" w:hAnsi="Wingdings" w:hint="default"/>
      </w:rPr>
    </w:lvl>
  </w:abstractNum>
  <w:num w:numId="1">
    <w:abstractNumId w:val="9"/>
  </w:num>
  <w:num w:numId="2">
    <w:abstractNumId w:val="7"/>
  </w:num>
  <w:num w:numId="3">
    <w:abstractNumId w:val="19"/>
  </w:num>
  <w:num w:numId="4">
    <w:abstractNumId w:val="21"/>
  </w:num>
  <w:num w:numId="5">
    <w:abstractNumId w:val="28"/>
  </w:num>
  <w:num w:numId="6">
    <w:abstractNumId w:val="0"/>
  </w:num>
  <w:num w:numId="7">
    <w:abstractNumId w:val="4"/>
  </w:num>
  <w:num w:numId="8">
    <w:abstractNumId w:val="26"/>
  </w:num>
  <w:num w:numId="9">
    <w:abstractNumId w:val="24"/>
  </w:num>
  <w:num w:numId="10">
    <w:abstractNumId w:val="14"/>
  </w:num>
  <w:num w:numId="11">
    <w:abstractNumId w:val="16"/>
  </w:num>
  <w:num w:numId="12">
    <w:abstractNumId w:val="8"/>
  </w:num>
  <w:num w:numId="13">
    <w:abstractNumId w:val="22"/>
  </w:num>
  <w:num w:numId="14">
    <w:abstractNumId w:val="11"/>
  </w:num>
  <w:num w:numId="15">
    <w:abstractNumId w:val="3"/>
  </w:num>
  <w:num w:numId="16">
    <w:abstractNumId w:val="25"/>
  </w:num>
  <w:num w:numId="17">
    <w:abstractNumId w:val="17"/>
  </w:num>
  <w:num w:numId="18">
    <w:abstractNumId w:val="5"/>
  </w:num>
  <w:num w:numId="19">
    <w:abstractNumId w:val="20"/>
  </w:num>
  <w:num w:numId="20">
    <w:abstractNumId w:val="1"/>
  </w:num>
  <w:num w:numId="21">
    <w:abstractNumId w:val="15"/>
  </w:num>
  <w:num w:numId="22">
    <w:abstractNumId w:val="27"/>
  </w:num>
  <w:num w:numId="23">
    <w:abstractNumId w:val="2"/>
  </w:num>
  <w:num w:numId="24">
    <w:abstractNumId w:val="12"/>
  </w:num>
  <w:num w:numId="25">
    <w:abstractNumId w:val="10"/>
  </w:num>
  <w:num w:numId="26">
    <w:abstractNumId w:val="6"/>
  </w:num>
  <w:num w:numId="27">
    <w:abstractNumId w:val="18"/>
  </w:num>
  <w:num w:numId="28">
    <w:abstractNumId w:val="13"/>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1021"/>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AD2"/>
    <w:rsid w:val="000007B0"/>
    <w:rsid w:val="00002242"/>
    <w:rsid w:val="000033C1"/>
    <w:rsid w:val="000061DD"/>
    <w:rsid w:val="00015542"/>
    <w:rsid w:val="00020C31"/>
    <w:rsid w:val="0002331E"/>
    <w:rsid w:val="00026908"/>
    <w:rsid w:val="00034CC7"/>
    <w:rsid w:val="00036F45"/>
    <w:rsid w:val="00042084"/>
    <w:rsid w:val="00053946"/>
    <w:rsid w:val="00054E87"/>
    <w:rsid w:val="00055A14"/>
    <w:rsid w:val="00055CB4"/>
    <w:rsid w:val="00060212"/>
    <w:rsid w:val="000610C9"/>
    <w:rsid w:val="000628AD"/>
    <w:rsid w:val="00062BC8"/>
    <w:rsid w:val="000654BE"/>
    <w:rsid w:val="000679E6"/>
    <w:rsid w:val="00075696"/>
    <w:rsid w:val="00076E34"/>
    <w:rsid w:val="00080132"/>
    <w:rsid w:val="00084E82"/>
    <w:rsid w:val="0008711C"/>
    <w:rsid w:val="00090834"/>
    <w:rsid w:val="00091A71"/>
    <w:rsid w:val="00091B02"/>
    <w:rsid w:val="00095EBA"/>
    <w:rsid w:val="000A13D9"/>
    <w:rsid w:val="000A7CC1"/>
    <w:rsid w:val="000B350D"/>
    <w:rsid w:val="000B5739"/>
    <w:rsid w:val="000C002E"/>
    <w:rsid w:val="000C5FF9"/>
    <w:rsid w:val="000D0E8B"/>
    <w:rsid w:val="000D214C"/>
    <w:rsid w:val="000D55CD"/>
    <w:rsid w:val="000E10FE"/>
    <w:rsid w:val="000F190F"/>
    <w:rsid w:val="000F1A2F"/>
    <w:rsid w:val="000F281B"/>
    <w:rsid w:val="000F3B04"/>
    <w:rsid w:val="00103908"/>
    <w:rsid w:val="00110A9E"/>
    <w:rsid w:val="001169CB"/>
    <w:rsid w:val="00117DC2"/>
    <w:rsid w:val="00117F28"/>
    <w:rsid w:val="0012213F"/>
    <w:rsid w:val="00126B46"/>
    <w:rsid w:val="00126F8A"/>
    <w:rsid w:val="00130A92"/>
    <w:rsid w:val="0013147B"/>
    <w:rsid w:val="0013721F"/>
    <w:rsid w:val="00140D17"/>
    <w:rsid w:val="00142FB3"/>
    <w:rsid w:val="0014383A"/>
    <w:rsid w:val="001451BF"/>
    <w:rsid w:val="00147881"/>
    <w:rsid w:val="001572E7"/>
    <w:rsid w:val="00160EAE"/>
    <w:rsid w:val="001637AB"/>
    <w:rsid w:val="00164A22"/>
    <w:rsid w:val="00165C15"/>
    <w:rsid w:val="00174881"/>
    <w:rsid w:val="001772B5"/>
    <w:rsid w:val="00180445"/>
    <w:rsid w:val="00182E12"/>
    <w:rsid w:val="00186094"/>
    <w:rsid w:val="00186C4D"/>
    <w:rsid w:val="001974CC"/>
    <w:rsid w:val="001A0972"/>
    <w:rsid w:val="001A1542"/>
    <w:rsid w:val="001A19E6"/>
    <w:rsid w:val="001A3BEF"/>
    <w:rsid w:val="001A60A2"/>
    <w:rsid w:val="001A6815"/>
    <w:rsid w:val="001B271F"/>
    <w:rsid w:val="001B39B6"/>
    <w:rsid w:val="001B6014"/>
    <w:rsid w:val="001C20BB"/>
    <w:rsid w:val="001C74D9"/>
    <w:rsid w:val="001C7EA3"/>
    <w:rsid w:val="001E1F65"/>
    <w:rsid w:val="001E4A3D"/>
    <w:rsid w:val="001E52E4"/>
    <w:rsid w:val="001E589B"/>
    <w:rsid w:val="001E66BF"/>
    <w:rsid w:val="001F252E"/>
    <w:rsid w:val="001F3108"/>
    <w:rsid w:val="0020098D"/>
    <w:rsid w:val="002018EA"/>
    <w:rsid w:val="00201935"/>
    <w:rsid w:val="00201DBF"/>
    <w:rsid w:val="002032EF"/>
    <w:rsid w:val="00203B08"/>
    <w:rsid w:val="00207F3C"/>
    <w:rsid w:val="00215B52"/>
    <w:rsid w:val="002215F9"/>
    <w:rsid w:val="00232483"/>
    <w:rsid w:val="00232B9D"/>
    <w:rsid w:val="00235D54"/>
    <w:rsid w:val="00251710"/>
    <w:rsid w:val="00252922"/>
    <w:rsid w:val="002540B6"/>
    <w:rsid w:val="0026301C"/>
    <w:rsid w:val="002633BB"/>
    <w:rsid w:val="00263424"/>
    <w:rsid w:val="00272C1D"/>
    <w:rsid w:val="00273E1B"/>
    <w:rsid w:val="00274A98"/>
    <w:rsid w:val="00277397"/>
    <w:rsid w:val="00290E57"/>
    <w:rsid w:val="00292D56"/>
    <w:rsid w:val="002972B9"/>
    <w:rsid w:val="00297BDF"/>
    <w:rsid w:val="002A575C"/>
    <w:rsid w:val="002B0DD2"/>
    <w:rsid w:val="002B5AB4"/>
    <w:rsid w:val="002B650F"/>
    <w:rsid w:val="002D06C6"/>
    <w:rsid w:val="002D1ABF"/>
    <w:rsid w:val="002D31F0"/>
    <w:rsid w:val="002D6AE0"/>
    <w:rsid w:val="002D6FE6"/>
    <w:rsid w:val="002D7EC2"/>
    <w:rsid w:val="002E70E5"/>
    <w:rsid w:val="002E7B0D"/>
    <w:rsid w:val="002F20B4"/>
    <w:rsid w:val="002F6965"/>
    <w:rsid w:val="0030019D"/>
    <w:rsid w:val="003041BD"/>
    <w:rsid w:val="003076D1"/>
    <w:rsid w:val="00312496"/>
    <w:rsid w:val="003146CA"/>
    <w:rsid w:val="00317ECE"/>
    <w:rsid w:val="003302AD"/>
    <w:rsid w:val="00332F3D"/>
    <w:rsid w:val="0034050A"/>
    <w:rsid w:val="00340DF3"/>
    <w:rsid w:val="00344464"/>
    <w:rsid w:val="00345005"/>
    <w:rsid w:val="003473C9"/>
    <w:rsid w:val="003570A7"/>
    <w:rsid w:val="00362E7B"/>
    <w:rsid w:val="003632C8"/>
    <w:rsid w:val="003636CF"/>
    <w:rsid w:val="00366730"/>
    <w:rsid w:val="00366EF8"/>
    <w:rsid w:val="00370F5C"/>
    <w:rsid w:val="003746DD"/>
    <w:rsid w:val="0038506C"/>
    <w:rsid w:val="00385DDD"/>
    <w:rsid w:val="00385F7D"/>
    <w:rsid w:val="00391225"/>
    <w:rsid w:val="00392F3A"/>
    <w:rsid w:val="0039738C"/>
    <w:rsid w:val="003A235A"/>
    <w:rsid w:val="003A59AF"/>
    <w:rsid w:val="003B29AB"/>
    <w:rsid w:val="003B3834"/>
    <w:rsid w:val="003B532F"/>
    <w:rsid w:val="003C0139"/>
    <w:rsid w:val="003C08A3"/>
    <w:rsid w:val="003D1BF6"/>
    <w:rsid w:val="003D2796"/>
    <w:rsid w:val="003D4C46"/>
    <w:rsid w:val="003D544B"/>
    <w:rsid w:val="003D7B02"/>
    <w:rsid w:val="003E07B4"/>
    <w:rsid w:val="003E5FFF"/>
    <w:rsid w:val="003F29EC"/>
    <w:rsid w:val="003F4141"/>
    <w:rsid w:val="003F5942"/>
    <w:rsid w:val="003F6D53"/>
    <w:rsid w:val="0040204D"/>
    <w:rsid w:val="00402331"/>
    <w:rsid w:val="00402F56"/>
    <w:rsid w:val="00404374"/>
    <w:rsid w:val="00404552"/>
    <w:rsid w:val="00405C47"/>
    <w:rsid w:val="00407D8B"/>
    <w:rsid w:val="00412828"/>
    <w:rsid w:val="00414FFE"/>
    <w:rsid w:val="004201E4"/>
    <w:rsid w:val="00421BB4"/>
    <w:rsid w:val="0042424B"/>
    <w:rsid w:val="00424CB5"/>
    <w:rsid w:val="0045086F"/>
    <w:rsid w:val="00455514"/>
    <w:rsid w:val="00460E34"/>
    <w:rsid w:val="00461B16"/>
    <w:rsid w:val="00466D91"/>
    <w:rsid w:val="00467A27"/>
    <w:rsid w:val="004823CE"/>
    <w:rsid w:val="00486D20"/>
    <w:rsid w:val="0049161D"/>
    <w:rsid w:val="00495E4E"/>
    <w:rsid w:val="0049638C"/>
    <w:rsid w:val="004A1C7F"/>
    <w:rsid w:val="004A272F"/>
    <w:rsid w:val="004B0F1F"/>
    <w:rsid w:val="004C0B48"/>
    <w:rsid w:val="004C68F1"/>
    <w:rsid w:val="004C7C1D"/>
    <w:rsid w:val="004D1C1B"/>
    <w:rsid w:val="004D6DB1"/>
    <w:rsid w:val="004D7747"/>
    <w:rsid w:val="004E544C"/>
    <w:rsid w:val="004E6FC0"/>
    <w:rsid w:val="00507A7D"/>
    <w:rsid w:val="00516172"/>
    <w:rsid w:val="00516693"/>
    <w:rsid w:val="005167C6"/>
    <w:rsid w:val="0052145F"/>
    <w:rsid w:val="00523423"/>
    <w:rsid w:val="00531A8C"/>
    <w:rsid w:val="00533434"/>
    <w:rsid w:val="00533C7E"/>
    <w:rsid w:val="005355A8"/>
    <w:rsid w:val="00535AF9"/>
    <w:rsid w:val="00542BDC"/>
    <w:rsid w:val="00543E46"/>
    <w:rsid w:val="00552F9E"/>
    <w:rsid w:val="00561FD6"/>
    <w:rsid w:val="00564B7A"/>
    <w:rsid w:val="005701EC"/>
    <w:rsid w:val="005900DA"/>
    <w:rsid w:val="00591A91"/>
    <w:rsid w:val="00591B3C"/>
    <w:rsid w:val="0059210C"/>
    <w:rsid w:val="00595011"/>
    <w:rsid w:val="00595841"/>
    <w:rsid w:val="00596A59"/>
    <w:rsid w:val="00596DB7"/>
    <w:rsid w:val="005A26B3"/>
    <w:rsid w:val="005A2BD4"/>
    <w:rsid w:val="005A765C"/>
    <w:rsid w:val="005B6D39"/>
    <w:rsid w:val="005C1339"/>
    <w:rsid w:val="005C4086"/>
    <w:rsid w:val="005C437E"/>
    <w:rsid w:val="005D175E"/>
    <w:rsid w:val="005D24D5"/>
    <w:rsid w:val="005D2995"/>
    <w:rsid w:val="005E06A2"/>
    <w:rsid w:val="005E2C8E"/>
    <w:rsid w:val="005F0E4F"/>
    <w:rsid w:val="005F2D83"/>
    <w:rsid w:val="005F32E2"/>
    <w:rsid w:val="005F3AF8"/>
    <w:rsid w:val="00605D08"/>
    <w:rsid w:val="006063E4"/>
    <w:rsid w:val="0061148C"/>
    <w:rsid w:val="00611CAF"/>
    <w:rsid w:val="00612868"/>
    <w:rsid w:val="006132E6"/>
    <w:rsid w:val="006145B2"/>
    <w:rsid w:val="00617955"/>
    <w:rsid w:val="006246DD"/>
    <w:rsid w:val="0062544E"/>
    <w:rsid w:val="00633F84"/>
    <w:rsid w:val="006355ED"/>
    <w:rsid w:val="00636A89"/>
    <w:rsid w:val="00645C8F"/>
    <w:rsid w:val="00646C99"/>
    <w:rsid w:val="00647EEB"/>
    <w:rsid w:val="00647F16"/>
    <w:rsid w:val="00650298"/>
    <w:rsid w:val="00652586"/>
    <w:rsid w:val="00656590"/>
    <w:rsid w:val="00662A85"/>
    <w:rsid w:val="006666A0"/>
    <w:rsid w:val="0067073E"/>
    <w:rsid w:val="00672542"/>
    <w:rsid w:val="006725D4"/>
    <w:rsid w:val="00672A1C"/>
    <w:rsid w:val="006802F3"/>
    <w:rsid w:val="0068184B"/>
    <w:rsid w:val="0069042C"/>
    <w:rsid w:val="006953AC"/>
    <w:rsid w:val="00696F44"/>
    <w:rsid w:val="006978F4"/>
    <w:rsid w:val="006A4709"/>
    <w:rsid w:val="006B0723"/>
    <w:rsid w:val="006B3717"/>
    <w:rsid w:val="006B6C1C"/>
    <w:rsid w:val="006C03EB"/>
    <w:rsid w:val="006C180C"/>
    <w:rsid w:val="006C4A31"/>
    <w:rsid w:val="006D3D7C"/>
    <w:rsid w:val="006D5399"/>
    <w:rsid w:val="006E2BB8"/>
    <w:rsid w:val="006E4763"/>
    <w:rsid w:val="006E57C7"/>
    <w:rsid w:val="006E65C9"/>
    <w:rsid w:val="006F2C3C"/>
    <w:rsid w:val="0070066D"/>
    <w:rsid w:val="00702F60"/>
    <w:rsid w:val="0070467E"/>
    <w:rsid w:val="00716353"/>
    <w:rsid w:val="00720709"/>
    <w:rsid w:val="00720EF0"/>
    <w:rsid w:val="0072195F"/>
    <w:rsid w:val="00722B59"/>
    <w:rsid w:val="00722CE3"/>
    <w:rsid w:val="0072421A"/>
    <w:rsid w:val="007266BA"/>
    <w:rsid w:val="007273FB"/>
    <w:rsid w:val="00730EE9"/>
    <w:rsid w:val="0073215F"/>
    <w:rsid w:val="00741E50"/>
    <w:rsid w:val="00743886"/>
    <w:rsid w:val="00744590"/>
    <w:rsid w:val="00745130"/>
    <w:rsid w:val="0075069C"/>
    <w:rsid w:val="007521A7"/>
    <w:rsid w:val="00763469"/>
    <w:rsid w:val="00765A9F"/>
    <w:rsid w:val="00773A6B"/>
    <w:rsid w:val="007841E4"/>
    <w:rsid w:val="007849CD"/>
    <w:rsid w:val="007855D1"/>
    <w:rsid w:val="007862B3"/>
    <w:rsid w:val="00787BEA"/>
    <w:rsid w:val="0079579B"/>
    <w:rsid w:val="007A2D41"/>
    <w:rsid w:val="007A4EDA"/>
    <w:rsid w:val="007B2AC7"/>
    <w:rsid w:val="007C2707"/>
    <w:rsid w:val="007C270A"/>
    <w:rsid w:val="007C2719"/>
    <w:rsid w:val="007C491E"/>
    <w:rsid w:val="007C523D"/>
    <w:rsid w:val="007C5BBE"/>
    <w:rsid w:val="007D0324"/>
    <w:rsid w:val="007D3660"/>
    <w:rsid w:val="007D3C69"/>
    <w:rsid w:val="007D69DD"/>
    <w:rsid w:val="007E21E1"/>
    <w:rsid w:val="007E2BFF"/>
    <w:rsid w:val="007E6931"/>
    <w:rsid w:val="007F48F8"/>
    <w:rsid w:val="007F6CFE"/>
    <w:rsid w:val="008012CD"/>
    <w:rsid w:val="00801763"/>
    <w:rsid w:val="00801C1B"/>
    <w:rsid w:val="008151E5"/>
    <w:rsid w:val="00815A07"/>
    <w:rsid w:val="0081721E"/>
    <w:rsid w:val="00835A12"/>
    <w:rsid w:val="00840F89"/>
    <w:rsid w:val="008453E6"/>
    <w:rsid w:val="00846B46"/>
    <w:rsid w:val="008527EE"/>
    <w:rsid w:val="0085362A"/>
    <w:rsid w:val="0085421D"/>
    <w:rsid w:val="0085656B"/>
    <w:rsid w:val="00860546"/>
    <w:rsid w:val="00864797"/>
    <w:rsid w:val="00870C71"/>
    <w:rsid w:val="00872234"/>
    <w:rsid w:val="0087248A"/>
    <w:rsid w:val="00873E2D"/>
    <w:rsid w:val="008777E9"/>
    <w:rsid w:val="00885B5C"/>
    <w:rsid w:val="00885CBB"/>
    <w:rsid w:val="008A5E22"/>
    <w:rsid w:val="008B01B3"/>
    <w:rsid w:val="008B41E8"/>
    <w:rsid w:val="008B4596"/>
    <w:rsid w:val="008C4096"/>
    <w:rsid w:val="008C6F91"/>
    <w:rsid w:val="008D3805"/>
    <w:rsid w:val="008D7DD0"/>
    <w:rsid w:val="008E087E"/>
    <w:rsid w:val="008E7DD4"/>
    <w:rsid w:val="008E7F1F"/>
    <w:rsid w:val="008F252F"/>
    <w:rsid w:val="008F2FC2"/>
    <w:rsid w:val="008F6CE2"/>
    <w:rsid w:val="0090419D"/>
    <w:rsid w:val="00907754"/>
    <w:rsid w:val="00910FC3"/>
    <w:rsid w:val="009114E6"/>
    <w:rsid w:val="00912523"/>
    <w:rsid w:val="00915085"/>
    <w:rsid w:val="00917DCE"/>
    <w:rsid w:val="0092143B"/>
    <w:rsid w:val="00924D03"/>
    <w:rsid w:val="00932AD6"/>
    <w:rsid w:val="0093303C"/>
    <w:rsid w:val="0093311E"/>
    <w:rsid w:val="00934814"/>
    <w:rsid w:val="00936B88"/>
    <w:rsid w:val="009456CE"/>
    <w:rsid w:val="00945DEE"/>
    <w:rsid w:val="0095031A"/>
    <w:rsid w:val="00952C17"/>
    <w:rsid w:val="009679B2"/>
    <w:rsid w:val="009811D7"/>
    <w:rsid w:val="00990125"/>
    <w:rsid w:val="00992D49"/>
    <w:rsid w:val="009A1931"/>
    <w:rsid w:val="009A38CE"/>
    <w:rsid w:val="009C0565"/>
    <w:rsid w:val="009C0843"/>
    <w:rsid w:val="009C0EF3"/>
    <w:rsid w:val="009C367A"/>
    <w:rsid w:val="009C4906"/>
    <w:rsid w:val="009C7D90"/>
    <w:rsid w:val="009D4E4E"/>
    <w:rsid w:val="009D524C"/>
    <w:rsid w:val="009E6147"/>
    <w:rsid w:val="009E6F01"/>
    <w:rsid w:val="009F5583"/>
    <w:rsid w:val="009F6548"/>
    <w:rsid w:val="009F6BF1"/>
    <w:rsid w:val="00A0489B"/>
    <w:rsid w:val="00A11BA7"/>
    <w:rsid w:val="00A16BDE"/>
    <w:rsid w:val="00A2157E"/>
    <w:rsid w:val="00A252E0"/>
    <w:rsid w:val="00A2533B"/>
    <w:rsid w:val="00A30CE9"/>
    <w:rsid w:val="00A32422"/>
    <w:rsid w:val="00A32FF8"/>
    <w:rsid w:val="00A335F9"/>
    <w:rsid w:val="00A40534"/>
    <w:rsid w:val="00A4365C"/>
    <w:rsid w:val="00A507A2"/>
    <w:rsid w:val="00A51CE8"/>
    <w:rsid w:val="00A53C08"/>
    <w:rsid w:val="00A559F7"/>
    <w:rsid w:val="00A56205"/>
    <w:rsid w:val="00A567AC"/>
    <w:rsid w:val="00A71F55"/>
    <w:rsid w:val="00A8057D"/>
    <w:rsid w:val="00A811F6"/>
    <w:rsid w:val="00A82139"/>
    <w:rsid w:val="00A82A3A"/>
    <w:rsid w:val="00A834CC"/>
    <w:rsid w:val="00A86310"/>
    <w:rsid w:val="00A87C0A"/>
    <w:rsid w:val="00AA47C8"/>
    <w:rsid w:val="00AB2CF6"/>
    <w:rsid w:val="00AC0667"/>
    <w:rsid w:val="00AD72F4"/>
    <w:rsid w:val="00AE1237"/>
    <w:rsid w:val="00AE33DF"/>
    <w:rsid w:val="00AE35FA"/>
    <w:rsid w:val="00AF147F"/>
    <w:rsid w:val="00AF523C"/>
    <w:rsid w:val="00AF5E92"/>
    <w:rsid w:val="00AF7FF6"/>
    <w:rsid w:val="00B037CD"/>
    <w:rsid w:val="00B04632"/>
    <w:rsid w:val="00B16347"/>
    <w:rsid w:val="00B234E7"/>
    <w:rsid w:val="00B24FA9"/>
    <w:rsid w:val="00B27BB4"/>
    <w:rsid w:val="00B3637D"/>
    <w:rsid w:val="00B42B90"/>
    <w:rsid w:val="00B52986"/>
    <w:rsid w:val="00B566B1"/>
    <w:rsid w:val="00B64574"/>
    <w:rsid w:val="00B64A58"/>
    <w:rsid w:val="00B64ED9"/>
    <w:rsid w:val="00B70D95"/>
    <w:rsid w:val="00B71913"/>
    <w:rsid w:val="00B71ED0"/>
    <w:rsid w:val="00B72627"/>
    <w:rsid w:val="00B7414E"/>
    <w:rsid w:val="00B75CB9"/>
    <w:rsid w:val="00B809F0"/>
    <w:rsid w:val="00B80F00"/>
    <w:rsid w:val="00B81EF2"/>
    <w:rsid w:val="00B966CA"/>
    <w:rsid w:val="00BA0837"/>
    <w:rsid w:val="00BA3419"/>
    <w:rsid w:val="00BA5F45"/>
    <w:rsid w:val="00BB0E9A"/>
    <w:rsid w:val="00BB3E98"/>
    <w:rsid w:val="00BC04DA"/>
    <w:rsid w:val="00BC108E"/>
    <w:rsid w:val="00BC18F9"/>
    <w:rsid w:val="00BC1AD2"/>
    <w:rsid w:val="00BC48A3"/>
    <w:rsid w:val="00BC787B"/>
    <w:rsid w:val="00BE3398"/>
    <w:rsid w:val="00BE7F2C"/>
    <w:rsid w:val="00BF475E"/>
    <w:rsid w:val="00BF477D"/>
    <w:rsid w:val="00BF7964"/>
    <w:rsid w:val="00BF7D15"/>
    <w:rsid w:val="00C02B72"/>
    <w:rsid w:val="00C02CA6"/>
    <w:rsid w:val="00C04B84"/>
    <w:rsid w:val="00C06166"/>
    <w:rsid w:val="00C07375"/>
    <w:rsid w:val="00C134CB"/>
    <w:rsid w:val="00C16DD3"/>
    <w:rsid w:val="00C21C1A"/>
    <w:rsid w:val="00C23846"/>
    <w:rsid w:val="00C26E00"/>
    <w:rsid w:val="00C33270"/>
    <w:rsid w:val="00C344C3"/>
    <w:rsid w:val="00C34F56"/>
    <w:rsid w:val="00C366FA"/>
    <w:rsid w:val="00C369E7"/>
    <w:rsid w:val="00C36C9A"/>
    <w:rsid w:val="00C407B2"/>
    <w:rsid w:val="00C40821"/>
    <w:rsid w:val="00C458C2"/>
    <w:rsid w:val="00C52804"/>
    <w:rsid w:val="00C54D3A"/>
    <w:rsid w:val="00C54DD7"/>
    <w:rsid w:val="00C61F8A"/>
    <w:rsid w:val="00C66896"/>
    <w:rsid w:val="00C66F48"/>
    <w:rsid w:val="00C6791B"/>
    <w:rsid w:val="00C67F98"/>
    <w:rsid w:val="00C7152D"/>
    <w:rsid w:val="00C748CF"/>
    <w:rsid w:val="00C84AB8"/>
    <w:rsid w:val="00C84D58"/>
    <w:rsid w:val="00C877AB"/>
    <w:rsid w:val="00C903DD"/>
    <w:rsid w:val="00C91A01"/>
    <w:rsid w:val="00C91D1A"/>
    <w:rsid w:val="00CA5257"/>
    <w:rsid w:val="00CB2FEF"/>
    <w:rsid w:val="00CB5720"/>
    <w:rsid w:val="00CB678C"/>
    <w:rsid w:val="00CB77AC"/>
    <w:rsid w:val="00CC09DE"/>
    <w:rsid w:val="00CC0BF0"/>
    <w:rsid w:val="00CC253A"/>
    <w:rsid w:val="00CC4945"/>
    <w:rsid w:val="00CC73A8"/>
    <w:rsid w:val="00CC7890"/>
    <w:rsid w:val="00CD3D5E"/>
    <w:rsid w:val="00CE3D67"/>
    <w:rsid w:val="00CE4CCF"/>
    <w:rsid w:val="00CE6B6C"/>
    <w:rsid w:val="00CE6F84"/>
    <w:rsid w:val="00CE7513"/>
    <w:rsid w:val="00D03983"/>
    <w:rsid w:val="00D112CD"/>
    <w:rsid w:val="00D11688"/>
    <w:rsid w:val="00D16A4F"/>
    <w:rsid w:val="00D21100"/>
    <w:rsid w:val="00D246DD"/>
    <w:rsid w:val="00D27C9A"/>
    <w:rsid w:val="00D30AD2"/>
    <w:rsid w:val="00D322B1"/>
    <w:rsid w:val="00D427D3"/>
    <w:rsid w:val="00D4610C"/>
    <w:rsid w:val="00D4710E"/>
    <w:rsid w:val="00D50A1D"/>
    <w:rsid w:val="00D53ABF"/>
    <w:rsid w:val="00D6152D"/>
    <w:rsid w:val="00D6513D"/>
    <w:rsid w:val="00D65323"/>
    <w:rsid w:val="00D65D3E"/>
    <w:rsid w:val="00D6611E"/>
    <w:rsid w:val="00D66DD3"/>
    <w:rsid w:val="00D75D98"/>
    <w:rsid w:val="00D80CC7"/>
    <w:rsid w:val="00D86782"/>
    <w:rsid w:val="00D8721B"/>
    <w:rsid w:val="00D93BF7"/>
    <w:rsid w:val="00D95400"/>
    <w:rsid w:val="00D96767"/>
    <w:rsid w:val="00DA36AB"/>
    <w:rsid w:val="00DA7B98"/>
    <w:rsid w:val="00DB4793"/>
    <w:rsid w:val="00DB4EBF"/>
    <w:rsid w:val="00DB7D44"/>
    <w:rsid w:val="00DC6518"/>
    <w:rsid w:val="00DC6956"/>
    <w:rsid w:val="00DD0C29"/>
    <w:rsid w:val="00DD0E96"/>
    <w:rsid w:val="00DD166B"/>
    <w:rsid w:val="00DD3974"/>
    <w:rsid w:val="00DE4085"/>
    <w:rsid w:val="00DE453E"/>
    <w:rsid w:val="00DF3D9C"/>
    <w:rsid w:val="00E03130"/>
    <w:rsid w:val="00E066EA"/>
    <w:rsid w:val="00E0720E"/>
    <w:rsid w:val="00E074DA"/>
    <w:rsid w:val="00E223BE"/>
    <w:rsid w:val="00E22589"/>
    <w:rsid w:val="00E22791"/>
    <w:rsid w:val="00E2286F"/>
    <w:rsid w:val="00E2417A"/>
    <w:rsid w:val="00E26275"/>
    <w:rsid w:val="00E26BC2"/>
    <w:rsid w:val="00E27E7D"/>
    <w:rsid w:val="00E307E0"/>
    <w:rsid w:val="00E34121"/>
    <w:rsid w:val="00E57A2B"/>
    <w:rsid w:val="00E60B7F"/>
    <w:rsid w:val="00E63FA6"/>
    <w:rsid w:val="00E650CF"/>
    <w:rsid w:val="00E65770"/>
    <w:rsid w:val="00E67691"/>
    <w:rsid w:val="00E71C57"/>
    <w:rsid w:val="00E72432"/>
    <w:rsid w:val="00E74715"/>
    <w:rsid w:val="00E815E2"/>
    <w:rsid w:val="00E904C7"/>
    <w:rsid w:val="00E908E2"/>
    <w:rsid w:val="00E94E62"/>
    <w:rsid w:val="00EA547F"/>
    <w:rsid w:val="00EB3B46"/>
    <w:rsid w:val="00EC0404"/>
    <w:rsid w:val="00EC0FC3"/>
    <w:rsid w:val="00EC2704"/>
    <w:rsid w:val="00EC4D23"/>
    <w:rsid w:val="00EC6A6E"/>
    <w:rsid w:val="00ED482B"/>
    <w:rsid w:val="00ED6F83"/>
    <w:rsid w:val="00ED7F6A"/>
    <w:rsid w:val="00EE3E2C"/>
    <w:rsid w:val="00EE6755"/>
    <w:rsid w:val="00EF317B"/>
    <w:rsid w:val="00EF4DB2"/>
    <w:rsid w:val="00EF6FAC"/>
    <w:rsid w:val="00F02902"/>
    <w:rsid w:val="00F07918"/>
    <w:rsid w:val="00F11837"/>
    <w:rsid w:val="00F13F7F"/>
    <w:rsid w:val="00F157CB"/>
    <w:rsid w:val="00F17024"/>
    <w:rsid w:val="00F255FC"/>
    <w:rsid w:val="00F26D87"/>
    <w:rsid w:val="00F30E9E"/>
    <w:rsid w:val="00F32D7C"/>
    <w:rsid w:val="00F3311F"/>
    <w:rsid w:val="00F34369"/>
    <w:rsid w:val="00F43A40"/>
    <w:rsid w:val="00F44698"/>
    <w:rsid w:val="00F56D0D"/>
    <w:rsid w:val="00F574D9"/>
    <w:rsid w:val="00F61CE6"/>
    <w:rsid w:val="00F64F23"/>
    <w:rsid w:val="00F74634"/>
    <w:rsid w:val="00F74B47"/>
    <w:rsid w:val="00F86BBF"/>
    <w:rsid w:val="00F87AD0"/>
    <w:rsid w:val="00F90076"/>
    <w:rsid w:val="00F94CF2"/>
    <w:rsid w:val="00F97180"/>
    <w:rsid w:val="00FA19FC"/>
    <w:rsid w:val="00FA52E5"/>
    <w:rsid w:val="00FA5626"/>
    <w:rsid w:val="00FB0704"/>
    <w:rsid w:val="00FB32D8"/>
    <w:rsid w:val="00FB4381"/>
    <w:rsid w:val="00FB4E69"/>
    <w:rsid w:val="00FB6A35"/>
    <w:rsid w:val="00FB7685"/>
    <w:rsid w:val="00FC0327"/>
    <w:rsid w:val="00FC0E4A"/>
    <w:rsid w:val="00FC4BD8"/>
    <w:rsid w:val="00FC5D19"/>
    <w:rsid w:val="00FC609C"/>
    <w:rsid w:val="00FD2F97"/>
    <w:rsid w:val="00FD6B83"/>
    <w:rsid w:val="00FE326B"/>
    <w:rsid w:val="00FE60C9"/>
    <w:rsid w:val="00FE78DA"/>
    <w:rsid w:val="00FE7ED2"/>
    <w:rsid w:val="00FF29E1"/>
    <w:rsid w:val="00FF6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76FD130"/>
  <w15:chartTrackingRefBased/>
  <w15:docId w15:val="{2CCE9195-B993-400A-B10D-E721CC24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qFormat/>
    <w:pPr>
      <w:keepNext/>
      <w:pBdr>
        <w:bottom w:val="single" w:sz="4" w:space="1" w:color="auto"/>
      </w:pBdr>
      <w:jc w:val="both"/>
      <w:outlineLvl w:val="0"/>
    </w:pPr>
    <w:rPr>
      <w:rFonts w:ascii="Arial" w:hAnsi="Arial"/>
      <w:b/>
      <w:sz w:val="24"/>
    </w:rPr>
  </w:style>
  <w:style w:type="paragraph" w:styleId="Ttulo2">
    <w:name w:val="heading 2"/>
    <w:basedOn w:val="Normal"/>
    <w:next w:val="Normal"/>
    <w:qFormat/>
    <w:pPr>
      <w:keepNext/>
      <w:widowControl w:val="0"/>
      <w:ind w:left="426"/>
      <w:jc w:val="both"/>
      <w:outlineLvl w:val="1"/>
    </w:pPr>
    <w:rPr>
      <w:rFonts w:ascii="Arial" w:hAnsi="Arial"/>
      <w:b/>
      <w:sz w:val="24"/>
    </w:rPr>
  </w:style>
  <w:style w:type="paragraph" w:styleId="Ttulo3">
    <w:name w:val="heading 3"/>
    <w:basedOn w:val="Normal"/>
    <w:next w:val="Normal"/>
    <w:qFormat/>
    <w:pPr>
      <w:keepNext/>
      <w:outlineLvl w:val="2"/>
    </w:pPr>
    <w:rPr>
      <w:rFonts w:ascii="Gill Sans MT" w:hAnsi="Gill Sans MT"/>
      <w:b/>
      <w:snapToGrid w:val="0"/>
      <w:color w:val="000000"/>
      <w:sz w:val="18"/>
    </w:rPr>
  </w:style>
  <w:style w:type="paragraph" w:styleId="Ttulo4">
    <w:name w:val="heading 4"/>
    <w:basedOn w:val="Normal"/>
    <w:next w:val="Normal"/>
    <w:link w:val="Ttulo4Car"/>
    <w:uiPriority w:val="9"/>
    <w:unhideWhenUsed/>
    <w:qFormat/>
    <w:rsid w:val="001E1F6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notapie">
    <w:name w:val="footnote text"/>
    <w:aliases w:val="Char1,Footnote Text Char3 Char,Footnote Text Char1 Char1 Char,Footnote Text Char2 Char Char Char,Footnote Text Char1 Char1 Char Char Char,Footnote Text Char2 Char Char Char Char Char,Footnote Text Char3,fn Char,Podrozdzi,Znak,Znak Z"/>
    <w:basedOn w:val="Normal"/>
    <w:link w:val="TextonotapieCar"/>
  </w:style>
  <w:style w:type="character" w:styleId="Refdenotaalpie">
    <w:name w:val="footnote reference"/>
    <w:rPr>
      <w:vertAlign w:val="superscript"/>
    </w:rPr>
  </w:style>
  <w:style w:type="paragraph" w:customStyle="1" w:styleId="Ttulo10">
    <w:name w:val="Título1"/>
    <w:basedOn w:val="Normal"/>
    <w:qFormat/>
    <w:pPr>
      <w:widowControl w:val="0"/>
      <w:jc w:val="center"/>
    </w:pPr>
    <w:rPr>
      <w:rFonts w:ascii="Arial" w:hAnsi="Arial"/>
      <w:b/>
      <w:sz w:val="28"/>
    </w:rPr>
  </w:style>
  <w:style w:type="paragraph" w:styleId="Textoindependiente">
    <w:name w:val="Body Text"/>
    <w:basedOn w:val="Normal"/>
    <w:semiHidden/>
    <w:pPr>
      <w:jc w:val="center"/>
    </w:pPr>
    <w:rPr>
      <w:rFonts w:ascii="Arial" w:hAnsi="Arial"/>
      <w:b/>
      <w:sz w:val="28"/>
    </w:rPr>
  </w:style>
  <w:style w:type="paragraph" w:styleId="Sangradetextonormal">
    <w:name w:val="Body Text Indent"/>
    <w:basedOn w:val="Normal"/>
    <w:semiHidden/>
    <w:pPr>
      <w:widowControl w:val="0"/>
      <w:ind w:left="426"/>
      <w:jc w:val="both"/>
    </w:pPr>
    <w:rPr>
      <w:rFonts w:ascii="Arial" w:hAnsi="Arial"/>
      <w:b/>
      <w:sz w:val="24"/>
    </w:rPr>
  </w:style>
  <w:style w:type="paragraph" w:styleId="Textoindependiente2">
    <w:name w:val="Body Text 2"/>
    <w:basedOn w:val="Normal"/>
    <w:semiHidden/>
    <w:pPr>
      <w:jc w:val="both"/>
    </w:pPr>
    <w:rPr>
      <w:rFonts w:ascii="Arial" w:hAnsi="Arial"/>
      <w:sz w:val="28"/>
    </w:rPr>
  </w:style>
  <w:style w:type="paragraph" w:styleId="Textoindependiente3">
    <w:name w:val="Body Text 3"/>
    <w:basedOn w:val="Normal"/>
    <w:semiHidden/>
    <w:pPr>
      <w:spacing w:line="312" w:lineRule="auto"/>
      <w:jc w:val="both"/>
    </w:pPr>
    <w:rPr>
      <w:rFonts w:ascii="Arial" w:hAnsi="Arial"/>
      <w:b/>
      <w:sz w:val="24"/>
    </w:rPr>
  </w:style>
  <w:style w:type="character" w:styleId="Hipervnculo">
    <w:name w:val="Hyperlink"/>
    <w:uiPriority w:val="99"/>
    <w:rPr>
      <w:color w:val="0000FF"/>
      <w:u w:val="single"/>
    </w:rPr>
  </w:style>
  <w:style w:type="paragraph" w:styleId="Textodebloque">
    <w:name w:val="Block Text"/>
    <w:basedOn w:val="Normal"/>
    <w:semiHidden/>
    <w:pPr>
      <w:ind w:left="284" w:right="566"/>
      <w:jc w:val="center"/>
    </w:pPr>
    <w:rPr>
      <w:b/>
      <w:sz w:val="32"/>
      <w:u w:val="single"/>
    </w:rPr>
  </w:style>
  <w:style w:type="paragraph" w:styleId="Sangra2detindependiente">
    <w:name w:val="Body Text Indent 2"/>
    <w:basedOn w:val="Normal"/>
    <w:semiHidden/>
    <w:pPr>
      <w:ind w:left="851"/>
      <w:jc w:val="both"/>
    </w:pPr>
    <w:rPr>
      <w:b/>
      <w:sz w:val="24"/>
    </w:rPr>
  </w:style>
  <w:style w:type="paragraph" w:styleId="Sangra3detindependiente">
    <w:name w:val="Body Text Indent 3"/>
    <w:basedOn w:val="Normal"/>
    <w:semiHidden/>
    <w:pPr>
      <w:ind w:left="284"/>
      <w:jc w:val="both"/>
    </w:pPr>
    <w:rPr>
      <w:sz w:val="24"/>
    </w:rPr>
  </w:style>
  <w:style w:type="character" w:styleId="Nmerodepgina">
    <w:name w:val="page number"/>
    <w:basedOn w:val="Fuentedeprrafopredeter"/>
    <w:semiHidden/>
  </w:style>
  <w:style w:type="character" w:styleId="Hipervnculovisitado">
    <w:name w:val="FollowedHyperlink"/>
    <w:semiHidden/>
    <w:rPr>
      <w:color w:val="800080"/>
      <w:u w:val="single"/>
    </w:rPr>
  </w:style>
  <w:style w:type="paragraph" w:styleId="Mapadeldocumento">
    <w:name w:val="Document Map"/>
    <w:basedOn w:val="Normal"/>
    <w:semiHidden/>
    <w:pPr>
      <w:shd w:val="clear" w:color="auto" w:fill="000080"/>
    </w:pPr>
    <w:rPr>
      <w:rFonts w:ascii="Tahoma" w:hAnsi="Tahoma" w:cs="Tahoma"/>
    </w:rPr>
  </w:style>
  <w:style w:type="character" w:customStyle="1" w:styleId="TextonotapieCar">
    <w:name w:val="Texto nota pie Car"/>
    <w:aliases w:val="Char1 Car,Footnote Text Char3 Char Car,Footnote Text Char1 Char1 Char Car,Footnote Text Char2 Char Char Char Car,Footnote Text Char1 Char1 Char Char Char Car,Footnote Text Char2 Char Char Char Char Char Car,Footnote Text Char3 Car"/>
    <w:link w:val="Textonotapie"/>
    <w:rsid w:val="00D30AD2"/>
    <w:rPr>
      <w:lang w:val="es-ES_tradnl"/>
    </w:rPr>
  </w:style>
  <w:style w:type="paragraph" w:styleId="Prrafodelista">
    <w:name w:val="List Paragraph"/>
    <w:basedOn w:val="Normal"/>
    <w:uiPriority w:val="34"/>
    <w:qFormat/>
    <w:rsid w:val="00C26E00"/>
    <w:pPr>
      <w:ind w:left="720"/>
    </w:pPr>
    <w:rPr>
      <w:rFonts w:ascii="Calibri" w:eastAsiaTheme="minorHAnsi" w:hAnsi="Calibri" w:cs="Calibri"/>
      <w:sz w:val="22"/>
      <w:szCs w:val="22"/>
      <w:lang w:val="es-ES" w:eastAsia="en-US"/>
    </w:rPr>
  </w:style>
  <w:style w:type="paragraph" w:styleId="Textodeglobo">
    <w:name w:val="Balloon Text"/>
    <w:basedOn w:val="Normal"/>
    <w:link w:val="TextodegloboCar"/>
    <w:uiPriority w:val="99"/>
    <w:semiHidden/>
    <w:unhideWhenUsed/>
    <w:rsid w:val="00C54D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4D3A"/>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CB678C"/>
    <w:rPr>
      <w:sz w:val="16"/>
      <w:szCs w:val="16"/>
    </w:rPr>
  </w:style>
  <w:style w:type="paragraph" w:styleId="Textocomentario">
    <w:name w:val="annotation text"/>
    <w:basedOn w:val="Normal"/>
    <w:link w:val="TextocomentarioCar"/>
    <w:uiPriority w:val="99"/>
    <w:semiHidden/>
    <w:unhideWhenUsed/>
    <w:rsid w:val="00CB678C"/>
  </w:style>
  <w:style w:type="character" w:customStyle="1" w:styleId="TextocomentarioCar">
    <w:name w:val="Texto comentario Car"/>
    <w:basedOn w:val="Fuentedeprrafopredeter"/>
    <w:link w:val="Textocomentario"/>
    <w:uiPriority w:val="99"/>
    <w:semiHidden/>
    <w:rsid w:val="00CB678C"/>
    <w:rPr>
      <w:lang w:val="es-ES_tradnl"/>
    </w:rPr>
  </w:style>
  <w:style w:type="paragraph" w:styleId="Asuntodelcomentario">
    <w:name w:val="annotation subject"/>
    <w:basedOn w:val="Textocomentario"/>
    <w:next w:val="Textocomentario"/>
    <w:link w:val="AsuntodelcomentarioCar"/>
    <w:uiPriority w:val="99"/>
    <w:semiHidden/>
    <w:unhideWhenUsed/>
    <w:rsid w:val="00CB678C"/>
    <w:rPr>
      <w:b/>
      <w:bCs/>
    </w:rPr>
  </w:style>
  <w:style w:type="character" w:customStyle="1" w:styleId="AsuntodelcomentarioCar">
    <w:name w:val="Asunto del comentario Car"/>
    <w:basedOn w:val="TextocomentarioCar"/>
    <w:link w:val="Asuntodelcomentario"/>
    <w:uiPriority w:val="99"/>
    <w:semiHidden/>
    <w:rsid w:val="00CB678C"/>
    <w:rPr>
      <w:b/>
      <w:bCs/>
      <w:lang w:val="es-ES_tradnl"/>
    </w:rPr>
  </w:style>
  <w:style w:type="character" w:customStyle="1" w:styleId="PiedepginaCar">
    <w:name w:val="Pie de página Car"/>
    <w:basedOn w:val="Fuentedeprrafopredeter"/>
    <w:link w:val="Piedepgina"/>
    <w:uiPriority w:val="99"/>
    <w:rsid w:val="00552F9E"/>
    <w:rPr>
      <w:lang w:val="es-ES_tradnl"/>
    </w:rPr>
  </w:style>
  <w:style w:type="paragraph" w:customStyle="1" w:styleId="Point1">
    <w:name w:val="Point 1"/>
    <w:basedOn w:val="Normal"/>
    <w:rsid w:val="00F34369"/>
    <w:pPr>
      <w:spacing w:before="120" w:after="120"/>
      <w:ind w:left="1417" w:hanging="567"/>
      <w:jc w:val="both"/>
    </w:pPr>
    <w:rPr>
      <w:rFonts w:eastAsiaTheme="minorHAnsi"/>
      <w:sz w:val="24"/>
      <w:szCs w:val="22"/>
      <w:lang w:bidi="es-ES"/>
    </w:rPr>
  </w:style>
  <w:style w:type="paragraph" w:customStyle="1" w:styleId="ManualNumPar1">
    <w:name w:val="Manual NumPar 1"/>
    <w:basedOn w:val="Normal"/>
    <w:next w:val="Normal"/>
    <w:rsid w:val="00F34369"/>
    <w:pPr>
      <w:spacing w:before="120" w:after="120"/>
      <w:ind w:left="850" w:hanging="850"/>
      <w:jc w:val="both"/>
    </w:pPr>
    <w:rPr>
      <w:rFonts w:eastAsiaTheme="minorHAnsi"/>
      <w:sz w:val="24"/>
      <w:szCs w:val="22"/>
      <w:lang w:bidi="es-ES"/>
    </w:rPr>
  </w:style>
  <w:style w:type="paragraph" w:customStyle="1" w:styleId="Default">
    <w:name w:val="Default"/>
    <w:rsid w:val="00312496"/>
    <w:pPr>
      <w:autoSpaceDE w:val="0"/>
      <w:autoSpaceDN w:val="0"/>
      <w:adjustRightInd w:val="0"/>
    </w:pPr>
    <w:rPr>
      <w:rFonts w:ascii="Verdana" w:hAnsi="Verdana" w:cs="Verdana"/>
      <w:color w:val="000000"/>
      <w:sz w:val="24"/>
      <w:szCs w:val="24"/>
    </w:rPr>
  </w:style>
  <w:style w:type="paragraph" w:customStyle="1" w:styleId="FigurasyTablas">
    <w:name w:val="Figuras y Tablas"/>
    <w:basedOn w:val="Normal"/>
    <w:qFormat/>
    <w:rsid w:val="0061148C"/>
    <w:pPr>
      <w:spacing w:before="240" w:after="120" w:line="288" w:lineRule="auto"/>
      <w:ind w:left="1134"/>
      <w:jc w:val="center"/>
    </w:pPr>
    <w:rPr>
      <w:rFonts w:ascii="Verdana" w:hAnsi="Verdana"/>
      <w:b/>
      <w:sz w:val="21"/>
      <w:szCs w:val="21"/>
      <w:lang w:val="es-ES"/>
    </w:rPr>
  </w:style>
  <w:style w:type="paragraph" w:styleId="Sinespaciado">
    <w:name w:val="No Spacing"/>
    <w:aliases w:val="NPP"/>
    <w:basedOn w:val="Textonotapie"/>
    <w:uiPriority w:val="1"/>
    <w:qFormat/>
    <w:rsid w:val="003F5942"/>
    <w:pPr>
      <w:spacing w:before="120" w:after="120"/>
      <w:ind w:left="1134"/>
      <w:jc w:val="both"/>
    </w:pPr>
    <w:rPr>
      <w:rFonts w:ascii="Verdana" w:hAnsi="Verdana"/>
      <w:sz w:val="19"/>
      <w:lang w:val="es-ES"/>
    </w:rPr>
  </w:style>
  <w:style w:type="paragraph" w:customStyle="1" w:styleId="EndNoteBibliography">
    <w:name w:val="EndNote Bibliography"/>
    <w:basedOn w:val="Normal"/>
    <w:link w:val="EndNoteBibliographyCar"/>
    <w:rsid w:val="008E087E"/>
    <w:pPr>
      <w:spacing w:before="120" w:after="120"/>
      <w:ind w:left="1134"/>
      <w:jc w:val="both"/>
    </w:pPr>
    <w:rPr>
      <w:rFonts w:ascii="Verdana" w:hAnsi="Verdana"/>
      <w:noProof/>
      <w:sz w:val="22"/>
      <w:szCs w:val="22"/>
      <w:lang w:val="es-ES"/>
    </w:rPr>
  </w:style>
  <w:style w:type="character" w:customStyle="1" w:styleId="EndNoteBibliographyCar">
    <w:name w:val="EndNote Bibliography Car"/>
    <w:basedOn w:val="Fuentedeprrafopredeter"/>
    <w:link w:val="EndNoteBibliography"/>
    <w:rsid w:val="008E087E"/>
    <w:rPr>
      <w:rFonts w:ascii="Verdana" w:hAnsi="Verdana"/>
      <w:noProof/>
      <w:sz w:val="22"/>
      <w:szCs w:val="22"/>
    </w:rPr>
  </w:style>
  <w:style w:type="character" w:customStyle="1" w:styleId="Ttulo1Car">
    <w:name w:val="Título 1 Car"/>
    <w:basedOn w:val="Fuentedeprrafopredeter"/>
    <w:link w:val="Ttulo1"/>
    <w:rsid w:val="00421BB4"/>
    <w:rPr>
      <w:rFonts w:ascii="Arial" w:hAnsi="Arial"/>
      <w:b/>
      <w:sz w:val="24"/>
      <w:lang w:val="es-ES_tradnl"/>
    </w:rPr>
  </w:style>
  <w:style w:type="paragraph" w:styleId="TtulodeTDC">
    <w:name w:val="TOC Heading"/>
    <w:basedOn w:val="Ttulo1"/>
    <w:next w:val="Normal"/>
    <w:uiPriority w:val="39"/>
    <w:unhideWhenUsed/>
    <w:qFormat/>
    <w:rsid w:val="00117F28"/>
    <w:pPr>
      <w:keepLines/>
      <w:pBdr>
        <w:bottom w:val="none" w:sz="0" w:space="0" w:color="auto"/>
      </w:pBdr>
      <w:spacing w:before="240" w:line="259" w:lineRule="auto"/>
      <w:jc w:val="left"/>
      <w:outlineLvl w:val="9"/>
    </w:pPr>
    <w:rPr>
      <w:rFonts w:asciiTheme="majorHAnsi" w:eastAsiaTheme="majorEastAsia" w:hAnsiTheme="majorHAnsi" w:cstheme="majorBidi"/>
      <w:b w:val="0"/>
      <w:color w:val="2E74B5" w:themeColor="accent1" w:themeShade="BF"/>
      <w:sz w:val="32"/>
      <w:szCs w:val="32"/>
      <w:lang w:val="es-ES"/>
    </w:rPr>
  </w:style>
  <w:style w:type="paragraph" w:styleId="TDC3">
    <w:name w:val="toc 3"/>
    <w:basedOn w:val="Normal"/>
    <w:next w:val="Normal"/>
    <w:autoRedefine/>
    <w:uiPriority w:val="39"/>
    <w:unhideWhenUsed/>
    <w:rsid w:val="00117F28"/>
    <w:pPr>
      <w:spacing w:after="100"/>
      <w:ind w:left="400"/>
    </w:pPr>
  </w:style>
  <w:style w:type="paragraph" w:styleId="TDC1">
    <w:name w:val="toc 1"/>
    <w:basedOn w:val="Normal"/>
    <w:next w:val="Normal"/>
    <w:autoRedefine/>
    <w:uiPriority w:val="39"/>
    <w:unhideWhenUsed/>
    <w:rsid w:val="00117F28"/>
    <w:pPr>
      <w:spacing w:after="100"/>
    </w:pPr>
  </w:style>
  <w:style w:type="paragraph" w:styleId="TDC2">
    <w:name w:val="toc 2"/>
    <w:basedOn w:val="Normal"/>
    <w:next w:val="Normal"/>
    <w:autoRedefine/>
    <w:uiPriority w:val="39"/>
    <w:unhideWhenUsed/>
    <w:rsid w:val="00591A91"/>
    <w:pPr>
      <w:spacing w:after="100"/>
      <w:ind w:left="200"/>
    </w:pPr>
  </w:style>
  <w:style w:type="paragraph" w:styleId="TDC4">
    <w:name w:val="toc 4"/>
    <w:basedOn w:val="Normal"/>
    <w:next w:val="Normal"/>
    <w:autoRedefine/>
    <w:uiPriority w:val="39"/>
    <w:unhideWhenUsed/>
    <w:rsid w:val="00591A91"/>
    <w:pPr>
      <w:spacing w:after="100" w:line="259" w:lineRule="auto"/>
      <w:ind w:left="660"/>
    </w:pPr>
    <w:rPr>
      <w:rFonts w:asciiTheme="minorHAnsi" w:eastAsiaTheme="minorEastAsia" w:hAnsiTheme="minorHAnsi" w:cstheme="minorBidi"/>
      <w:sz w:val="22"/>
      <w:szCs w:val="22"/>
      <w:lang w:val="es-ES"/>
    </w:rPr>
  </w:style>
  <w:style w:type="paragraph" w:styleId="TDC5">
    <w:name w:val="toc 5"/>
    <w:basedOn w:val="Normal"/>
    <w:next w:val="Normal"/>
    <w:autoRedefine/>
    <w:uiPriority w:val="39"/>
    <w:unhideWhenUsed/>
    <w:rsid w:val="00591A91"/>
    <w:pPr>
      <w:spacing w:after="100" w:line="259" w:lineRule="auto"/>
      <w:ind w:left="880"/>
    </w:pPr>
    <w:rPr>
      <w:rFonts w:asciiTheme="minorHAnsi" w:eastAsiaTheme="minorEastAsia" w:hAnsiTheme="minorHAnsi" w:cstheme="minorBidi"/>
      <w:sz w:val="22"/>
      <w:szCs w:val="22"/>
      <w:lang w:val="es-ES"/>
    </w:rPr>
  </w:style>
  <w:style w:type="paragraph" w:styleId="TDC6">
    <w:name w:val="toc 6"/>
    <w:basedOn w:val="Normal"/>
    <w:next w:val="Normal"/>
    <w:autoRedefine/>
    <w:uiPriority w:val="39"/>
    <w:unhideWhenUsed/>
    <w:rsid w:val="00591A91"/>
    <w:pPr>
      <w:spacing w:after="100" w:line="259" w:lineRule="auto"/>
      <w:ind w:left="1100"/>
    </w:pPr>
    <w:rPr>
      <w:rFonts w:asciiTheme="minorHAnsi" w:eastAsiaTheme="minorEastAsia" w:hAnsiTheme="minorHAnsi" w:cstheme="minorBidi"/>
      <w:sz w:val="22"/>
      <w:szCs w:val="22"/>
      <w:lang w:val="es-ES"/>
    </w:rPr>
  </w:style>
  <w:style w:type="paragraph" w:styleId="TDC7">
    <w:name w:val="toc 7"/>
    <w:basedOn w:val="Normal"/>
    <w:next w:val="Normal"/>
    <w:autoRedefine/>
    <w:uiPriority w:val="39"/>
    <w:unhideWhenUsed/>
    <w:rsid w:val="00591A91"/>
    <w:pPr>
      <w:spacing w:after="100" w:line="259" w:lineRule="auto"/>
      <w:ind w:left="1320"/>
    </w:pPr>
    <w:rPr>
      <w:rFonts w:asciiTheme="minorHAnsi" w:eastAsiaTheme="minorEastAsia" w:hAnsiTheme="minorHAnsi" w:cstheme="minorBidi"/>
      <w:sz w:val="22"/>
      <w:szCs w:val="22"/>
      <w:lang w:val="es-ES"/>
    </w:rPr>
  </w:style>
  <w:style w:type="paragraph" w:styleId="TDC8">
    <w:name w:val="toc 8"/>
    <w:basedOn w:val="Normal"/>
    <w:next w:val="Normal"/>
    <w:autoRedefine/>
    <w:uiPriority w:val="39"/>
    <w:unhideWhenUsed/>
    <w:rsid w:val="00591A91"/>
    <w:pPr>
      <w:spacing w:after="100" w:line="259" w:lineRule="auto"/>
      <w:ind w:left="1540"/>
    </w:pPr>
    <w:rPr>
      <w:rFonts w:asciiTheme="minorHAnsi" w:eastAsiaTheme="minorEastAsia" w:hAnsiTheme="minorHAnsi" w:cstheme="minorBidi"/>
      <w:sz w:val="22"/>
      <w:szCs w:val="22"/>
      <w:lang w:val="es-ES"/>
    </w:rPr>
  </w:style>
  <w:style w:type="paragraph" w:styleId="TDC9">
    <w:name w:val="toc 9"/>
    <w:basedOn w:val="Normal"/>
    <w:next w:val="Normal"/>
    <w:autoRedefine/>
    <w:uiPriority w:val="39"/>
    <w:unhideWhenUsed/>
    <w:rsid w:val="00591A91"/>
    <w:pPr>
      <w:spacing w:after="100" w:line="259" w:lineRule="auto"/>
      <w:ind w:left="1760"/>
    </w:pPr>
    <w:rPr>
      <w:rFonts w:asciiTheme="minorHAnsi" w:eastAsiaTheme="minorEastAsia" w:hAnsiTheme="minorHAnsi" w:cstheme="minorBidi"/>
      <w:sz w:val="22"/>
      <w:szCs w:val="22"/>
      <w:lang w:val="es-ES"/>
    </w:rPr>
  </w:style>
  <w:style w:type="paragraph" w:styleId="NormalWeb">
    <w:name w:val="Normal (Web)"/>
    <w:basedOn w:val="Normal"/>
    <w:uiPriority w:val="99"/>
    <w:unhideWhenUsed/>
    <w:rsid w:val="00A567AC"/>
    <w:pPr>
      <w:spacing w:after="100" w:afterAutospacing="1" w:line="340" w:lineRule="atLeast"/>
      <w:jc w:val="both"/>
    </w:pPr>
    <w:rPr>
      <w:rFonts w:ascii="Arial" w:hAnsi="Arial" w:cs="Arial"/>
      <w:sz w:val="24"/>
      <w:szCs w:val="24"/>
      <w:lang w:val="es-ES"/>
    </w:rPr>
  </w:style>
  <w:style w:type="paragraph" w:styleId="Revisin">
    <w:name w:val="Revision"/>
    <w:hidden/>
    <w:uiPriority w:val="99"/>
    <w:semiHidden/>
    <w:rsid w:val="00402F56"/>
    <w:rPr>
      <w:lang w:val="es-ES_tradnl"/>
    </w:rPr>
  </w:style>
  <w:style w:type="paragraph" w:customStyle="1" w:styleId="parrafo">
    <w:name w:val="parrafo"/>
    <w:basedOn w:val="Normal"/>
    <w:rsid w:val="00EB3B46"/>
    <w:pPr>
      <w:spacing w:before="100" w:beforeAutospacing="1" w:after="100" w:afterAutospacing="1"/>
    </w:pPr>
    <w:rPr>
      <w:sz w:val="24"/>
      <w:szCs w:val="24"/>
      <w:lang w:val="es-ES"/>
    </w:rPr>
  </w:style>
  <w:style w:type="character" w:customStyle="1" w:styleId="Ttulo4Car">
    <w:name w:val="Título 4 Car"/>
    <w:basedOn w:val="Fuentedeprrafopredeter"/>
    <w:link w:val="Ttulo4"/>
    <w:uiPriority w:val="9"/>
    <w:rsid w:val="001E1F65"/>
    <w:rPr>
      <w:rFonts w:asciiTheme="majorHAnsi" w:eastAsiaTheme="majorEastAsia" w:hAnsiTheme="majorHAnsi" w:cstheme="majorBidi"/>
      <w:i/>
      <w:iCs/>
      <w:color w:val="2E74B5" w:themeColor="accent1" w:themeShade="BF"/>
      <w:lang w:val="es-ES_tradnl"/>
    </w:rPr>
  </w:style>
  <w:style w:type="character" w:styleId="nfasis">
    <w:name w:val="Emphasis"/>
    <w:basedOn w:val="Fuentedeprrafopredeter"/>
    <w:uiPriority w:val="20"/>
    <w:qFormat/>
    <w:rsid w:val="000E10FE"/>
    <w:rPr>
      <w:i/>
      <w:iCs/>
    </w:rPr>
  </w:style>
  <w:style w:type="character" w:styleId="Textoennegrita">
    <w:name w:val="Strong"/>
    <w:basedOn w:val="Fuentedeprrafopredeter"/>
    <w:uiPriority w:val="22"/>
    <w:qFormat/>
    <w:rsid w:val="000E10FE"/>
    <w:rPr>
      <w:rFonts w:ascii="Lato-Bold" w:hAnsi="Lato-Bold" w:hint="default"/>
      <w:b w:val="0"/>
      <w:bCs w:val="0"/>
    </w:rPr>
  </w:style>
  <w:style w:type="paragraph" w:customStyle="1" w:styleId="justificado">
    <w:name w:val="justificado"/>
    <w:basedOn w:val="Normal"/>
    <w:rsid w:val="000E10FE"/>
    <w:rPr>
      <w:rFonts w:ascii="Lato-Regular" w:hAnsi="Lato-Regular"/>
      <w:color w:val="2A2A2A"/>
      <w:sz w:val="24"/>
      <w:szCs w:val="24"/>
      <w:lang w:val="es-ES"/>
    </w:rPr>
  </w:style>
  <w:style w:type="character" w:customStyle="1" w:styleId="autorf1">
    <w:name w:val="autorf1"/>
    <w:basedOn w:val="Fuentedeprrafopredeter"/>
    <w:rsid w:val="000E10FE"/>
    <w:rPr>
      <w:rFonts w:ascii="Lato-Regular" w:hAnsi="Lato-Regular" w:hint="default"/>
      <w:color w:val="2A2A2A"/>
      <w:sz w:val="20"/>
      <w:szCs w:val="20"/>
      <w:bdr w:val="none" w:sz="0" w:space="0" w:color="auto" w:frame="1"/>
      <w:shd w:val="clear" w:color="auto" w:fill="EDF0F3"/>
    </w:rPr>
  </w:style>
  <w:style w:type="paragraph" w:customStyle="1" w:styleId="ms-rteelement-parrafonormal">
    <w:name w:val="ms-rteelement-parrafo_normal"/>
    <w:basedOn w:val="Normal"/>
    <w:rsid w:val="000E10FE"/>
    <w:rPr>
      <w:rFonts w:ascii="Lato-Regular" w:hAnsi="Lato-Regular"/>
      <w:color w:val="2A2A2A"/>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67539">
      <w:bodyDiv w:val="1"/>
      <w:marLeft w:val="0"/>
      <w:marRight w:val="0"/>
      <w:marTop w:val="0"/>
      <w:marBottom w:val="0"/>
      <w:divBdr>
        <w:top w:val="none" w:sz="0" w:space="0" w:color="auto"/>
        <w:left w:val="none" w:sz="0" w:space="0" w:color="auto"/>
        <w:bottom w:val="none" w:sz="0" w:space="0" w:color="auto"/>
        <w:right w:val="none" w:sz="0" w:space="0" w:color="auto"/>
      </w:divBdr>
    </w:div>
    <w:div w:id="93214199">
      <w:bodyDiv w:val="1"/>
      <w:marLeft w:val="0"/>
      <w:marRight w:val="0"/>
      <w:marTop w:val="0"/>
      <w:marBottom w:val="0"/>
      <w:divBdr>
        <w:top w:val="none" w:sz="0" w:space="0" w:color="auto"/>
        <w:left w:val="none" w:sz="0" w:space="0" w:color="auto"/>
        <w:bottom w:val="none" w:sz="0" w:space="0" w:color="auto"/>
        <w:right w:val="none" w:sz="0" w:space="0" w:color="auto"/>
      </w:divBdr>
    </w:div>
    <w:div w:id="268008414">
      <w:bodyDiv w:val="1"/>
      <w:marLeft w:val="0"/>
      <w:marRight w:val="0"/>
      <w:marTop w:val="0"/>
      <w:marBottom w:val="0"/>
      <w:divBdr>
        <w:top w:val="none" w:sz="0" w:space="0" w:color="auto"/>
        <w:left w:val="none" w:sz="0" w:space="0" w:color="auto"/>
        <w:bottom w:val="none" w:sz="0" w:space="0" w:color="auto"/>
        <w:right w:val="none" w:sz="0" w:space="0" w:color="auto"/>
      </w:divBdr>
    </w:div>
    <w:div w:id="331223122">
      <w:bodyDiv w:val="1"/>
      <w:marLeft w:val="0"/>
      <w:marRight w:val="0"/>
      <w:marTop w:val="0"/>
      <w:marBottom w:val="0"/>
      <w:divBdr>
        <w:top w:val="none" w:sz="0" w:space="0" w:color="auto"/>
        <w:left w:val="none" w:sz="0" w:space="0" w:color="auto"/>
        <w:bottom w:val="none" w:sz="0" w:space="0" w:color="auto"/>
        <w:right w:val="none" w:sz="0" w:space="0" w:color="auto"/>
      </w:divBdr>
    </w:div>
    <w:div w:id="359623930">
      <w:bodyDiv w:val="1"/>
      <w:marLeft w:val="0"/>
      <w:marRight w:val="0"/>
      <w:marTop w:val="0"/>
      <w:marBottom w:val="0"/>
      <w:divBdr>
        <w:top w:val="none" w:sz="0" w:space="0" w:color="auto"/>
        <w:left w:val="none" w:sz="0" w:space="0" w:color="auto"/>
        <w:bottom w:val="none" w:sz="0" w:space="0" w:color="auto"/>
        <w:right w:val="none" w:sz="0" w:space="0" w:color="auto"/>
      </w:divBdr>
    </w:div>
    <w:div w:id="446824853">
      <w:bodyDiv w:val="1"/>
      <w:marLeft w:val="0"/>
      <w:marRight w:val="0"/>
      <w:marTop w:val="0"/>
      <w:marBottom w:val="0"/>
      <w:divBdr>
        <w:top w:val="none" w:sz="0" w:space="0" w:color="auto"/>
        <w:left w:val="none" w:sz="0" w:space="0" w:color="auto"/>
        <w:bottom w:val="none" w:sz="0" w:space="0" w:color="auto"/>
        <w:right w:val="none" w:sz="0" w:space="0" w:color="auto"/>
      </w:divBdr>
    </w:div>
    <w:div w:id="449520570">
      <w:bodyDiv w:val="1"/>
      <w:marLeft w:val="0"/>
      <w:marRight w:val="0"/>
      <w:marTop w:val="0"/>
      <w:marBottom w:val="0"/>
      <w:divBdr>
        <w:top w:val="none" w:sz="0" w:space="0" w:color="auto"/>
        <w:left w:val="none" w:sz="0" w:space="0" w:color="auto"/>
        <w:bottom w:val="none" w:sz="0" w:space="0" w:color="auto"/>
        <w:right w:val="none" w:sz="0" w:space="0" w:color="auto"/>
      </w:divBdr>
    </w:div>
    <w:div w:id="490800671">
      <w:bodyDiv w:val="1"/>
      <w:marLeft w:val="0"/>
      <w:marRight w:val="0"/>
      <w:marTop w:val="0"/>
      <w:marBottom w:val="0"/>
      <w:divBdr>
        <w:top w:val="none" w:sz="0" w:space="0" w:color="auto"/>
        <w:left w:val="none" w:sz="0" w:space="0" w:color="auto"/>
        <w:bottom w:val="none" w:sz="0" w:space="0" w:color="auto"/>
        <w:right w:val="none" w:sz="0" w:space="0" w:color="auto"/>
      </w:divBdr>
    </w:div>
    <w:div w:id="494494940">
      <w:bodyDiv w:val="1"/>
      <w:marLeft w:val="0"/>
      <w:marRight w:val="0"/>
      <w:marTop w:val="0"/>
      <w:marBottom w:val="0"/>
      <w:divBdr>
        <w:top w:val="none" w:sz="0" w:space="0" w:color="auto"/>
        <w:left w:val="none" w:sz="0" w:space="0" w:color="auto"/>
        <w:bottom w:val="none" w:sz="0" w:space="0" w:color="auto"/>
        <w:right w:val="none" w:sz="0" w:space="0" w:color="auto"/>
      </w:divBdr>
    </w:div>
    <w:div w:id="525562320">
      <w:bodyDiv w:val="1"/>
      <w:marLeft w:val="0"/>
      <w:marRight w:val="0"/>
      <w:marTop w:val="0"/>
      <w:marBottom w:val="0"/>
      <w:divBdr>
        <w:top w:val="none" w:sz="0" w:space="0" w:color="auto"/>
        <w:left w:val="none" w:sz="0" w:space="0" w:color="auto"/>
        <w:bottom w:val="none" w:sz="0" w:space="0" w:color="auto"/>
        <w:right w:val="none" w:sz="0" w:space="0" w:color="auto"/>
      </w:divBdr>
    </w:div>
    <w:div w:id="544831156">
      <w:bodyDiv w:val="1"/>
      <w:marLeft w:val="0"/>
      <w:marRight w:val="0"/>
      <w:marTop w:val="0"/>
      <w:marBottom w:val="0"/>
      <w:divBdr>
        <w:top w:val="none" w:sz="0" w:space="0" w:color="auto"/>
        <w:left w:val="none" w:sz="0" w:space="0" w:color="auto"/>
        <w:bottom w:val="none" w:sz="0" w:space="0" w:color="auto"/>
        <w:right w:val="none" w:sz="0" w:space="0" w:color="auto"/>
      </w:divBdr>
    </w:div>
    <w:div w:id="578371898">
      <w:bodyDiv w:val="1"/>
      <w:marLeft w:val="0"/>
      <w:marRight w:val="0"/>
      <w:marTop w:val="0"/>
      <w:marBottom w:val="0"/>
      <w:divBdr>
        <w:top w:val="none" w:sz="0" w:space="0" w:color="auto"/>
        <w:left w:val="none" w:sz="0" w:space="0" w:color="auto"/>
        <w:bottom w:val="none" w:sz="0" w:space="0" w:color="auto"/>
        <w:right w:val="none" w:sz="0" w:space="0" w:color="auto"/>
      </w:divBdr>
    </w:div>
    <w:div w:id="644354205">
      <w:bodyDiv w:val="1"/>
      <w:marLeft w:val="0"/>
      <w:marRight w:val="0"/>
      <w:marTop w:val="0"/>
      <w:marBottom w:val="0"/>
      <w:divBdr>
        <w:top w:val="none" w:sz="0" w:space="0" w:color="auto"/>
        <w:left w:val="none" w:sz="0" w:space="0" w:color="auto"/>
        <w:bottom w:val="none" w:sz="0" w:space="0" w:color="auto"/>
        <w:right w:val="none" w:sz="0" w:space="0" w:color="auto"/>
      </w:divBdr>
    </w:div>
    <w:div w:id="649291765">
      <w:bodyDiv w:val="1"/>
      <w:marLeft w:val="0"/>
      <w:marRight w:val="0"/>
      <w:marTop w:val="0"/>
      <w:marBottom w:val="0"/>
      <w:divBdr>
        <w:top w:val="none" w:sz="0" w:space="0" w:color="auto"/>
        <w:left w:val="none" w:sz="0" w:space="0" w:color="auto"/>
        <w:bottom w:val="none" w:sz="0" w:space="0" w:color="auto"/>
        <w:right w:val="none" w:sz="0" w:space="0" w:color="auto"/>
      </w:divBdr>
      <w:divsChild>
        <w:div w:id="1015183176">
          <w:marLeft w:val="547"/>
          <w:marRight w:val="0"/>
          <w:marTop w:val="0"/>
          <w:marBottom w:val="0"/>
          <w:divBdr>
            <w:top w:val="none" w:sz="0" w:space="0" w:color="auto"/>
            <w:left w:val="none" w:sz="0" w:space="0" w:color="auto"/>
            <w:bottom w:val="none" w:sz="0" w:space="0" w:color="auto"/>
            <w:right w:val="none" w:sz="0" w:space="0" w:color="auto"/>
          </w:divBdr>
        </w:div>
      </w:divsChild>
    </w:div>
    <w:div w:id="669871666">
      <w:bodyDiv w:val="1"/>
      <w:marLeft w:val="0"/>
      <w:marRight w:val="0"/>
      <w:marTop w:val="0"/>
      <w:marBottom w:val="0"/>
      <w:divBdr>
        <w:top w:val="none" w:sz="0" w:space="0" w:color="auto"/>
        <w:left w:val="none" w:sz="0" w:space="0" w:color="auto"/>
        <w:bottom w:val="none" w:sz="0" w:space="0" w:color="auto"/>
        <w:right w:val="none" w:sz="0" w:space="0" w:color="auto"/>
      </w:divBdr>
    </w:div>
    <w:div w:id="677655965">
      <w:bodyDiv w:val="1"/>
      <w:marLeft w:val="0"/>
      <w:marRight w:val="0"/>
      <w:marTop w:val="0"/>
      <w:marBottom w:val="0"/>
      <w:divBdr>
        <w:top w:val="none" w:sz="0" w:space="0" w:color="auto"/>
        <w:left w:val="none" w:sz="0" w:space="0" w:color="auto"/>
        <w:bottom w:val="none" w:sz="0" w:space="0" w:color="auto"/>
        <w:right w:val="none" w:sz="0" w:space="0" w:color="auto"/>
      </w:divBdr>
    </w:div>
    <w:div w:id="812596454">
      <w:bodyDiv w:val="1"/>
      <w:marLeft w:val="0"/>
      <w:marRight w:val="0"/>
      <w:marTop w:val="0"/>
      <w:marBottom w:val="0"/>
      <w:divBdr>
        <w:top w:val="none" w:sz="0" w:space="0" w:color="auto"/>
        <w:left w:val="none" w:sz="0" w:space="0" w:color="auto"/>
        <w:bottom w:val="none" w:sz="0" w:space="0" w:color="auto"/>
        <w:right w:val="none" w:sz="0" w:space="0" w:color="auto"/>
      </w:divBdr>
    </w:div>
    <w:div w:id="1108042876">
      <w:bodyDiv w:val="1"/>
      <w:marLeft w:val="0"/>
      <w:marRight w:val="0"/>
      <w:marTop w:val="0"/>
      <w:marBottom w:val="0"/>
      <w:divBdr>
        <w:top w:val="none" w:sz="0" w:space="0" w:color="auto"/>
        <w:left w:val="none" w:sz="0" w:space="0" w:color="auto"/>
        <w:bottom w:val="none" w:sz="0" w:space="0" w:color="auto"/>
        <w:right w:val="none" w:sz="0" w:space="0" w:color="auto"/>
      </w:divBdr>
    </w:div>
    <w:div w:id="1143815660">
      <w:bodyDiv w:val="1"/>
      <w:marLeft w:val="0"/>
      <w:marRight w:val="0"/>
      <w:marTop w:val="0"/>
      <w:marBottom w:val="0"/>
      <w:divBdr>
        <w:top w:val="none" w:sz="0" w:space="0" w:color="auto"/>
        <w:left w:val="none" w:sz="0" w:space="0" w:color="auto"/>
        <w:bottom w:val="none" w:sz="0" w:space="0" w:color="auto"/>
        <w:right w:val="none" w:sz="0" w:space="0" w:color="auto"/>
      </w:divBdr>
    </w:div>
    <w:div w:id="1210806381">
      <w:bodyDiv w:val="1"/>
      <w:marLeft w:val="0"/>
      <w:marRight w:val="0"/>
      <w:marTop w:val="0"/>
      <w:marBottom w:val="0"/>
      <w:divBdr>
        <w:top w:val="none" w:sz="0" w:space="0" w:color="auto"/>
        <w:left w:val="none" w:sz="0" w:space="0" w:color="auto"/>
        <w:bottom w:val="none" w:sz="0" w:space="0" w:color="auto"/>
        <w:right w:val="none" w:sz="0" w:space="0" w:color="auto"/>
      </w:divBdr>
    </w:div>
    <w:div w:id="1271204347">
      <w:bodyDiv w:val="1"/>
      <w:marLeft w:val="0"/>
      <w:marRight w:val="0"/>
      <w:marTop w:val="0"/>
      <w:marBottom w:val="0"/>
      <w:divBdr>
        <w:top w:val="none" w:sz="0" w:space="0" w:color="auto"/>
        <w:left w:val="none" w:sz="0" w:space="0" w:color="auto"/>
        <w:bottom w:val="none" w:sz="0" w:space="0" w:color="auto"/>
        <w:right w:val="none" w:sz="0" w:space="0" w:color="auto"/>
      </w:divBdr>
    </w:div>
    <w:div w:id="1405642495">
      <w:bodyDiv w:val="1"/>
      <w:marLeft w:val="0"/>
      <w:marRight w:val="0"/>
      <w:marTop w:val="0"/>
      <w:marBottom w:val="0"/>
      <w:divBdr>
        <w:top w:val="none" w:sz="0" w:space="0" w:color="auto"/>
        <w:left w:val="none" w:sz="0" w:space="0" w:color="auto"/>
        <w:bottom w:val="none" w:sz="0" w:space="0" w:color="auto"/>
        <w:right w:val="none" w:sz="0" w:space="0" w:color="auto"/>
      </w:divBdr>
    </w:div>
    <w:div w:id="1419984305">
      <w:bodyDiv w:val="1"/>
      <w:marLeft w:val="0"/>
      <w:marRight w:val="0"/>
      <w:marTop w:val="0"/>
      <w:marBottom w:val="0"/>
      <w:divBdr>
        <w:top w:val="none" w:sz="0" w:space="0" w:color="auto"/>
        <w:left w:val="none" w:sz="0" w:space="0" w:color="auto"/>
        <w:bottom w:val="none" w:sz="0" w:space="0" w:color="auto"/>
        <w:right w:val="none" w:sz="0" w:space="0" w:color="auto"/>
      </w:divBdr>
    </w:div>
    <w:div w:id="1479541720">
      <w:bodyDiv w:val="1"/>
      <w:marLeft w:val="0"/>
      <w:marRight w:val="0"/>
      <w:marTop w:val="0"/>
      <w:marBottom w:val="0"/>
      <w:divBdr>
        <w:top w:val="none" w:sz="0" w:space="0" w:color="auto"/>
        <w:left w:val="none" w:sz="0" w:space="0" w:color="auto"/>
        <w:bottom w:val="none" w:sz="0" w:space="0" w:color="auto"/>
        <w:right w:val="none" w:sz="0" w:space="0" w:color="auto"/>
      </w:divBdr>
    </w:div>
    <w:div w:id="1562137722">
      <w:bodyDiv w:val="1"/>
      <w:marLeft w:val="0"/>
      <w:marRight w:val="0"/>
      <w:marTop w:val="0"/>
      <w:marBottom w:val="0"/>
      <w:divBdr>
        <w:top w:val="none" w:sz="0" w:space="0" w:color="auto"/>
        <w:left w:val="none" w:sz="0" w:space="0" w:color="auto"/>
        <w:bottom w:val="none" w:sz="0" w:space="0" w:color="auto"/>
        <w:right w:val="none" w:sz="0" w:space="0" w:color="auto"/>
      </w:divBdr>
    </w:div>
    <w:div w:id="1672177632">
      <w:bodyDiv w:val="1"/>
      <w:marLeft w:val="0"/>
      <w:marRight w:val="0"/>
      <w:marTop w:val="0"/>
      <w:marBottom w:val="0"/>
      <w:divBdr>
        <w:top w:val="none" w:sz="0" w:space="0" w:color="auto"/>
        <w:left w:val="none" w:sz="0" w:space="0" w:color="auto"/>
        <w:bottom w:val="none" w:sz="0" w:space="0" w:color="auto"/>
        <w:right w:val="none" w:sz="0" w:space="0" w:color="auto"/>
      </w:divBdr>
      <w:divsChild>
        <w:div w:id="477036680">
          <w:marLeft w:val="1267"/>
          <w:marRight w:val="0"/>
          <w:marTop w:val="0"/>
          <w:marBottom w:val="0"/>
          <w:divBdr>
            <w:top w:val="none" w:sz="0" w:space="0" w:color="auto"/>
            <w:left w:val="none" w:sz="0" w:space="0" w:color="auto"/>
            <w:bottom w:val="none" w:sz="0" w:space="0" w:color="auto"/>
            <w:right w:val="none" w:sz="0" w:space="0" w:color="auto"/>
          </w:divBdr>
        </w:div>
        <w:div w:id="1331106563">
          <w:marLeft w:val="1267"/>
          <w:marRight w:val="0"/>
          <w:marTop w:val="0"/>
          <w:marBottom w:val="0"/>
          <w:divBdr>
            <w:top w:val="none" w:sz="0" w:space="0" w:color="auto"/>
            <w:left w:val="none" w:sz="0" w:space="0" w:color="auto"/>
            <w:bottom w:val="none" w:sz="0" w:space="0" w:color="auto"/>
            <w:right w:val="none" w:sz="0" w:space="0" w:color="auto"/>
          </w:divBdr>
        </w:div>
      </w:divsChild>
    </w:div>
    <w:div w:id="1692950898">
      <w:bodyDiv w:val="1"/>
      <w:marLeft w:val="0"/>
      <w:marRight w:val="0"/>
      <w:marTop w:val="0"/>
      <w:marBottom w:val="0"/>
      <w:divBdr>
        <w:top w:val="none" w:sz="0" w:space="0" w:color="auto"/>
        <w:left w:val="none" w:sz="0" w:space="0" w:color="auto"/>
        <w:bottom w:val="none" w:sz="0" w:space="0" w:color="auto"/>
        <w:right w:val="none" w:sz="0" w:space="0" w:color="auto"/>
      </w:divBdr>
    </w:div>
    <w:div w:id="1835871128">
      <w:bodyDiv w:val="1"/>
      <w:marLeft w:val="0"/>
      <w:marRight w:val="0"/>
      <w:marTop w:val="0"/>
      <w:marBottom w:val="0"/>
      <w:divBdr>
        <w:top w:val="none" w:sz="0" w:space="0" w:color="auto"/>
        <w:left w:val="none" w:sz="0" w:space="0" w:color="auto"/>
        <w:bottom w:val="none" w:sz="0" w:space="0" w:color="auto"/>
        <w:right w:val="none" w:sz="0" w:space="0" w:color="auto"/>
      </w:divBdr>
    </w:div>
    <w:div w:id="1923756141">
      <w:bodyDiv w:val="1"/>
      <w:marLeft w:val="0"/>
      <w:marRight w:val="0"/>
      <w:marTop w:val="0"/>
      <w:marBottom w:val="0"/>
      <w:divBdr>
        <w:top w:val="none" w:sz="0" w:space="0" w:color="auto"/>
        <w:left w:val="none" w:sz="0" w:space="0" w:color="auto"/>
        <w:bottom w:val="none" w:sz="0" w:space="0" w:color="auto"/>
        <w:right w:val="none" w:sz="0" w:space="0" w:color="auto"/>
      </w:divBdr>
    </w:div>
    <w:div w:id="2052028960">
      <w:bodyDiv w:val="1"/>
      <w:marLeft w:val="0"/>
      <w:marRight w:val="0"/>
      <w:marTop w:val="0"/>
      <w:marBottom w:val="0"/>
      <w:divBdr>
        <w:top w:val="none" w:sz="0" w:space="0" w:color="auto"/>
        <w:left w:val="none" w:sz="0" w:space="0" w:color="auto"/>
        <w:bottom w:val="none" w:sz="0" w:space="0" w:color="auto"/>
        <w:right w:val="none" w:sz="0" w:space="0" w:color="auto"/>
      </w:divBdr>
      <w:divsChild>
        <w:div w:id="1925334931">
          <w:marLeft w:val="547"/>
          <w:marRight w:val="0"/>
          <w:marTop w:val="0"/>
          <w:marBottom w:val="0"/>
          <w:divBdr>
            <w:top w:val="none" w:sz="0" w:space="0" w:color="auto"/>
            <w:left w:val="none" w:sz="0" w:space="0" w:color="auto"/>
            <w:bottom w:val="none" w:sz="0" w:space="0" w:color="auto"/>
            <w:right w:val="none" w:sz="0" w:space="0" w:color="auto"/>
          </w:divBdr>
        </w:div>
      </w:divsChild>
    </w:div>
    <w:div w:id="2106076837">
      <w:bodyDiv w:val="1"/>
      <w:marLeft w:val="0"/>
      <w:marRight w:val="0"/>
      <w:marTop w:val="0"/>
      <w:marBottom w:val="0"/>
      <w:divBdr>
        <w:top w:val="none" w:sz="0" w:space="0" w:color="auto"/>
        <w:left w:val="none" w:sz="0" w:space="0" w:color="auto"/>
        <w:bottom w:val="none" w:sz="0" w:space="0" w:color="auto"/>
        <w:right w:val="none" w:sz="0" w:space="0" w:color="auto"/>
      </w:divBdr>
      <w:divsChild>
        <w:div w:id="2136211906">
          <w:marLeft w:val="547"/>
          <w:marRight w:val="0"/>
          <w:marTop w:val="0"/>
          <w:marBottom w:val="0"/>
          <w:divBdr>
            <w:top w:val="none" w:sz="0" w:space="0" w:color="auto"/>
            <w:left w:val="none" w:sz="0" w:space="0" w:color="auto"/>
            <w:bottom w:val="none" w:sz="0" w:space="0" w:color="auto"/>
            <w:right w:val="none" w:sz="0" w:space="0" w:color="auto"/>
          </w:divBdr>
        </w:div>
      </w:divsChild>
    </w:div>
    <w:div w:id="21191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hyperlink" Target="https://ec.europa.eu/agriculture/sites/agriculture/files/future-of-cap/future_of_food_and_farming_communication_es.pdf" TargetMode="External"/><Relationship Id="rId3" Type="http://schemas.openxmlformats.org/officeDocument/2006/relationships/styles" Target="styles.xml"/><Relationship Id="rId21" Type="http://schemas.openxmlformats.org/officeDocument/2006/relationships/hyperlink" Target="https://ec.europa.eu/info/sites/info/files/food-farming-fisheries/farming/documents/agri-statistical-factsheet-es_en.pdf" TargetMode="External"/><Relationship Id="rId34" Type="http://schemas.openxmlformats.org/officeDocument/2006/relationships/hyperlink" Target="https://ec.europa.eu/eurostat/cache/infographs/foodprice/" TargetMode="External"/><Relationship Id="rId42" Type="http://schemas.openxmlformats.org/officeDocument/2006/relationships/hyperlink" Target="https://www.mapa.gob.es/es/ministerio/servicios/analisis-y-prospectiva/notametodologica2018_tcm30-381433.pdf" TargetMode="External"/><Relationship Id="rId47" Type="http://schemas.openxmlformats.org/officeDocument/2006/relationships/hyperlink" Target="https://eur-lex.europa.eu/legal-content/ES/TXT/HTML/?uri=CELEX:52018PC0392&amp;from=E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ec.europa.eu/agriculture/market-observatory/meat/reports/meeting-reports_en" TargetMode="External"/><Relationship Id="rId38" Type="http://schemas.openxmlformats.org/officeDocument/2006/relationships/hyperlink" Target="file:///C:\Users\abragado\Desktop\Barometro%20de%20confianza%20del%20sector%20agroalimentario%20https:\www.mapa.gob.es\es\alimentacion\temas\consumo-y-comercializacion-y-distribucion-alimentaria\barometro-del-clima-de-confianza-del-sector-agroalimentario\" TargetMode="External"/><Relationship Id="rId46" Type="http://schemas.openxmlformats.org/officeDocument/2006/relationships/hyperlink" Target="https://ec.europa.eu/info/sites/info/files/food-farming-fisheries/key_policies/documents/cap-specific-objectives-brief-3-farmer-position-in-value-chains_en.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mapa.gob.es/es/ministerio/servicios/analisis-y-prospectiva/vabdelsae2016_tcm30-482367.pdf" TargetMode="External"/><Relationship Id="rId29" Type="http://schemas.openxmlformats.org/officeDocument/2006/relationships/hyperlink" Target="https://ec.europa.eu/agriculture/market-observatory/meat_en" TargetMode="External"/><Relationship Id="rId41" Type="http://schemas.openxmlformats.org/officeDocument/2006/relationships/hyperlink" Target="https://www.alimarket.es/alimentacion/informe/239872/informe-2017-del-mercado-de-ecommerce-de-alimentacion/informe-comple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www.eumofa.eu/" TargetMode="External"/><Relationship Id="rId37" Type="http://schemas.openxmlformats.org/officeDocument/2006/relationships/hyperlink" Target="https://www.mapa.gob.es/es/alimentacion/temas/produccion-ecologica/estrategias-y-estudios/" TargetMode="External"/><Relationship Id="rId40" Type="http://schemas.openxmlformats.org/officeDocument/2006/relationships/hyperlink" Target="https://www.mapa.gob.es/es/ministerio/servicios/analisis-y-prospectiva/vabdelsae2016_tcm30-482367.pdf" TargetMode="External"/><Relationship Id="rId45" Type="http://schemas.openxmlformats.org/officeDocument/2006/relationships/hyperlink" Target="http://publications.jrc.ec.europa.eu/repository/bitstream/JRC108394/jrc_report_utps_final.pdf" TargetMode="External"/><Relationship Id="rId7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hyperlink" Target="https://ec.europa.eu/agriculture/market-observatory/milk_en" TargetMode="External"/><Relationship Id="rId36" Type="http://schemas.openxmlformats.org/officeDocument/2006/relationships/hyperlink" Target="https://www.mapa.gob.es/es/alimentacion/temas/calidad-agroalimentaria/analisistransmisionpreciosenesquemasdecalidadalimentarioseuropeosag2018_tcm30-482554.pdf"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ec.europa.eu/agriculture/market-observatory/crops" TargetMode="External"/><Relationship Id="rId44" Type="http://schemas.openxmlformats.org/officeDocument/2006/relationships/hyperlink" Target="http://www.fao.org/3/al296s/al296s00.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www.mapa.gob.es/es/ministerio/servicios/analisis-y-prospectiva/notametodologica2018_tcm30-381433.pdf" TargetMode="External"/><Relationship Id="rId30" Type="http://schemas.openxmlformats.org/officeDocument/2006/relationships/hyperlink" Target="https://ec.europa.eu/agriculture/market-observatory/sugar_en" TargetMode="External"/><Relationship Id="rId35" Type="http://schemas.openxmlformats.org/officeDocument/2006/relationships/hyperlink" Target="http://www.ipyme.org/es-ES/Paginas/Home.aspx" TargetMode="External"/><Relationship Id="rId43" Type="http://schemas.openxmlformats.org/officeDocument/2006/relationships/hyperlink" Target="https://www.mapa.gob.es/images/es/20190624_informedeconsumo2018pdf_tcm30-510816.pdf"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Azucena\Modelos\Modelo%20escritos%202018\10-MAPA\documentos\vari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6D8C3-D441-4F31-A333-DE7741DB1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varios</Template>
  <TotalTime>58</TotalTime>
  <Pages>61</Pages>
  <Words>19782</Words>
  <Characters>111564</Characters>
  <Application>Microsoft Office Word</Application>
  <DocSecurity>0</DocSecurity>
  <Lines>929</Lines>
  <Paragraphs>262</Paragraphs>
  <ScaleCrop>false</ScaleCrop>
  <HeadingPairs>
    <vt:vector size="2" baseType="variant">
      <vt:variant>
        <vt:lpstr>Título</vt:lpstr>
      </vt:variant>
      <vt:variant>
        <vt:i4>1</vt:i4>
      </vt:variant>
    </vt:vector>
  </HeadingPairs>
  <TitlesOfParts>
    <vt:vector size="1" baseType="lpstr">
      <vt:lpstr>Documento</vt:lpstr>
    </vt:vector>
  </TitlesOfParts>
  <Company>IGSAP</Company>
  <LinksUpToDate>false</LinksUpToDate>
  <CharactersWithSpaces>131084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subject/>
  <dc:creator>Bragado Balsera, Almudena</dc:creator>
  <cp:keywords/>
  <cp:lastModifiedBy>Bragado Balsera, Almudena</cp:lastModifiedBy>
  <cp:revision>4</cp:revision>
  <cp:lastPrinted>2019-07-08T07:34:00Z</cp:lastPrinted>
  <dcterms:created xsi:type="dcterms:W3CDTF">2019-07-23T08:40:00Z</dcterms:created>
  <dcterms:modified xsi:type="dcterms:W3CDTF">2019-07-25T11:18:00Z</dcterms:modified>
</cp:coreProperties>
</file>